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Ezra</w:t>
      </w:r>
      <w:r>
        <w:rPr>
          <w:lang w:val="es_ES" w:bidi="es_ES"/>
        </w:rPr>
      </w:r>
    </w:p>
    <w:p>
      <w:pPr/>
      <w:r>
        <w:rPr>
          <w:lang w:val="es_ES" w:bidi="es_ES"/>
        </w:rPr>
      </w:r>
      <w:r>
        <w:rPr>
          <w:lang w:val="es_ES" w:bidi="es_ES"/>
        </w:rPr>
        <w:t>El Libro de Esdras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continua provisión de Dios para su pueblo</w:t>
      </w:r>
    </w:p>
    <w:p>
      <w:pPr>
        <w:pStyle w:val="ListNumber"/>
        <w:spacing w:line="240" w:lineRule="auto"/>
        <w:ind w:left="720"/>
      </w:pPr>
      <w:r>
        <w:rPr>
          <w:lang w:val="es_ES" w:bidi="es_ES"/>
        </w:rPr>
      </w:r>
      <w:r>
        <w:rPr>
          <w:lang w:val="es_ES" w:bidi="es_ES"/>
        </w:rPr>
        <w:t>Mostrar cómo vivir cuando se enfrenta al control extranjero, la oposición y la influencia pagana</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538–457 a.C.</w:t>
      </w:r>
    </w:p>
    <w:p>
      <w:pPr>
        <w:pStyle w:val="Heading3"/>
      </w:pPr>
      <w:r>
        <w:rPr>
          <w:lang w:val="es_ES" w:bidi="es_ES"/>
        </w:rPr>
        <w:t>Contexto</w:t>
      </w:r>
    </w:p>
    <w:p>
      <w:pPr/>
      <w:r>
        <w:rPr>
          <w:lang w:val="es_ES" w:bidi="es_ES"/>
        </w:rPr>
      </w:r>
      <w:r>
        <w:rPr>
          <w:lang w:val="es_ES" w:bidi="es_ES"/>
        </w:rPr>
        <w:t>Jerusalén, comenzando con el regreso inicial de los judíos del exilio en Babilonia y terminando con la llegada de Esdras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