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w:t>
      </w:r>
      <w:r>
        <w:rPr>
          <w:lang w:val="zh_TW" w:bidi="zh_TW"/>
        </w:rPr>
      </w:r>
    </w:p>
    <w:p>
      <w:pPr/>
      <w:r>
        <w:rPr>
          <w:lang w:val="zh_TW" w:bidi="zh_TW"/>
        </w:rPr>
      </w:r>
      <w:r>
        <w:rPr>
          <w:lang w:val="zh_TW" w:bidi="zh_TW"/>
        </w:rPr>
        <w:t>約珥書</w:t>
      </w:r>
    </w:p>
    <w:p>
      <w:pPr>
        <w:pStyle w:val="Heading3"/>
      </w:pPr>
      <w:r>
        <w:rPr>
          <w:lang w:val="zh_TW" w:bidi="zh_TW"/>
        </w:rPr>
        <w:t>寫作目的</w:t>
      </w:r>
    </w:p>
    <w:p>
      <w:pPr/>
      <w:r>
        <w:rPr>
          <w:lang w:val="zh_TW" w:bidi="zh_TW"/>
        </w:rPr>
      </w:r>
      <w:r>
        <w:rPr>
          <w:lang w:val="zh_TW" w:bidi="zh_TW"/>
        </w:rPr>
        <w:t>彰顯神的主權和審判，激勵讀者悔改，並應許復興</w:t>
      </w:r>
    </w:p>
    <w:p>
      <w:pPr>
        <w:pStyle w:val="Heading3"/>
      </w:pPr>
      <w:r>
        <w:rPr>
          <w:lang w:val="zh_TW" w:bidi="zh_TW"/>
        </w:rPr>
        <w:t>作者</w:t>
      </w:r>
    </w:p>
    <w:p>
      <w:pPr/>
      <w:r>
        <w:rPr>
          <w:lang w:val="zh_TW" w:bidi="zh_TW"/>
        </w:rPr>
      </w:r>
      <w:r>
        <w:rPr>
          <w:lang w:val="zh_TW" w:bidi="zh_TW"/>
        </w:rPr>
        <w:t>約珥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在災難性的蝗災期間（被釋為實際發生的或比喻性的）的猶大地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