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s_ES" w:bidi="es_ES"/>
        </w:rPr>
      </w:r>
    </w:p>
    <w:p>
      <w:pPr>
        <w:pStyle w:val="Heading2"/>
      </w:pPr>
      <w:r>
        <w:rPr>
          <w:lang w:val="es_ES" w:bidi="es_ES"/>
        </w:rPr>
        <w:t>Resource: Tyndale Open Study Notes</w:t>
      </w:r>
      <w:r>
        <w:rPr>
          <w:lang w:val="es_ES" w:bidi="es_ES"/>
        </w:rPr>
      </w:r>
    </w:p>
    <w:p>
      <w:pPr/>
      <w:r>
        <w:rPr>
          <w:lang w:val="es_ES" w:bidi="es_ES"/>
        </w:rPr>
      </w:r>
      <w:r>
        <w:rPr>
          <w:b/>
          <w:lang w:val="es_ES" w:bidi="es_ES"/>
        </w:rPr>
        <w:t>Aquifer Open Study Notes (Book Intro Summaries)</w:t>
      </w:r>
    </w:p>
    <w:p>
      <w:pPr/>
      <w:r>
        <w:rPr>
          <w:lang w:val="es_ES" w:bidi="es_ES"/>
        </w:rPr>
      </w:r>
      <w:r>
        <w:rPr>
          <w:lang w:val="es_ES" w:bidi="es_ES"/>
        </w:rPr>
        <w:t xml:space="preserve">This work is an adaptation of </w:t>
      </w:r>
      <w:r>
        <w:rPr>
          <w:lang w:val="es_ES" w:bidi="es_ES"/>
        </w:rPr>
        <w:t>Tyndale Open Study Notes</w:t>
      </w:r>
      <w:r>
        <w:rPr>
          <w:lang w:val="es_ES" w:bidi="es_ES"/>
        </w:rPr>
        <w:t xml:space="preserve"> © 2023 Tyndale House Publishers, licensed under the CC BY-SA 4.0 license. The adaptation, </w:t>
      </w:r>
      <w:r>
        <w:rPr>
          <w:lang w:val="es_ES" w:bidi="es_ES"/>
        </w:rPr>
        <w:t>Aquifer Open Study Notes</w:t>
      </w:r>
      <w:r>
        <w:rPr>
          <w:lang w:val="es_ES" w:bidi="es_ES"/>
        </w:rPr>
        <w:t>, was created by Mission Mutual and is also licensed under CC BY-SA 4.0.</w:t>
      </w:r>
    </w:p>
    <w:p>
      <w:pPr/>
      <w:r>
        <w:rPr>
          <w:lang w:val="es_ES" w:bidi="es_ES"/>
        </w:rPr>
      </w:r>
      <w:r>
        <w:rPr>
          <w:lang w:val="es_ES" w:bidi="es_E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s_ES" w:bidi="es_ES"/>
        </w:rPr>
      </w:r>
      <w:r>
        <w:rPr>
          <w:lang w:val="es_ES" w:bidi="es_ES"/>
        </w:rPr>
      </w:r>
    </w:p>
    <w:p>
      <w:pPr>
        <w:pStyle w:val="Heading1"/>
      </w:pPr>
      <w:r>
        <w:rPr>
          <w:lang w:val="es_ES" w:bidi="es_ES"/>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JDG</w:t>
      </w:r>
      <w:r>
        <w:rPr>
          <w:lang w:val="es_ES" w:bidi="es_ES"/>
        </w:rPr>
      </w:r>
    </w:p>
    <w:p>
      <w:pPr/>
      <w:r>
        <w:rPr>
          <w:lang w:val="es_ES" w:bidi="es_ES"/>
        </w:rPr>
      </w:r>
      <w:r>
        <w:rPr>
          <w:lang w:val="es_ES" w:bidi="es_ES"/>
        </w:rPr>
        <w:t xml:space="preserve"> </w:t>
      </w:r>
      <w:r>
        <w:rPr>
          <w:lang w:val="es_ES" w:bidi="es_ES"/>
        </w:rPr>
      </w:r>
      <w:r>
        <w:rPr>
          <w:lang w:val="es_ES" w:bidi="es_E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Jueces</w:t>
      </w:r>
      <w:r>
        <w:rPr>
          <w:lang w:val="es_ES" w:bidi="es_ES"/>
        </w:rPr>
      </w:r>
    </w:p>
    <w:p>
      <w:pPr/>
      <w:r>
        <w:rPr>
          <w:lang w:val="es_ES" w:bidi="es_ES"/>
        </w:rPr>
      </w:r>
      <w:r>
        <w:rPr>
          <w:lang w:val="es_ES" w:bidi="es_ES"/>
        </w:rPr>
        <w:t>El Libro de los Jueces</w:t>
      </w:r>
    </w:p>
    <w:p>
      <w:pPr>
        <w:pStyle w:val="Heading3"/>
      </w:pPr>
      <w:r>
        <w:rPr>
          <w:lang w:val="es_ES" w:bidi="es_ES"/>
        </w:rPr>
        <w:t>Propósito</w:t>
      </w:r>
    </w:p>
    <w:p>
      <w:pPr>
        <w:pStyle w:val="ListNumber"/>
        <w:numPr>
          <w:ilvl w:val="0"/>
          <w:numId w:val="14"/>
        </w:numPr>
        <w:spacing w:line="240" w:lineRule="auto"/>
        <w:ind w:left="720"/>
      </w:pPr>
      <w:r>
        <w:rPr>
          <w:lang w:val="es_ES" w:bidi="es_ES"/>
        </w:rPr>
      </w:r>
      <w:r>
        <w:rPr>
          <w:lang w:val="es_ES" w:bidi="es_ES"/>
        </w:rPr>
        <w:t>Describir el período de los jueces</w:t>
      </w:r>
    </w:p>
    <w:p>
      <w:pPr>
        <w:pStyle w:val="ListNumber"/>
        <w:spacing w:line="240" w:lineRule="auto"/>
        <w:ind w:left="720"/>
      </w:pPr>
      <w:r>
        <w:rPr>
          <w:lang w:val="es_ES" w:bidi="es_ES"/>
        </w:rPr>
      </w:r>
      <w:r>
        <w:rPr>
          <w:lang w:val="es_ES" w:bidi="es_ES"/>
        </w:rPr>
        <w:t>Presentar un caso para que Israel sea gobernado por un rey</w:t>
      </w:r>
    </w:p>
    <w:p>
      <w:pPr>
        <w:pStyle w:val="Heading3"/>
      </w:pPr>
      <w:r>
        <w:rPr>
          <w:lang w:val="es_ES" w:bidi="es_ES"/>
        </w:rPr>
        <w:t>Autor</w:t>
      </w:r>
    </w:p>
    <w:p>
      <w:pPr/>
      <w:r>
        <w:rPr>
          <w:lang w:val="es_ES" w:bidi="es_ES"/>
        </w:rPr>
      </w:r>
      <w:r>
        <w:rPr>
          <w:lang w:val="es_ES" w:bidi="es_ES"/>
        </w:rPr>
        <w:t>Desconocido</w:t>
      </w:r>
    </w:p>
    <w:p>
      <w:pPr>
        <w:pStyle w:val="Heading3"/>
      </w:pPr>
      <w:r>
        <w:rPr>
          <w:lang w:val="es_ES" w:bidi="es_ES"/>
        </w:rPr>
        <w:t>Fecha</w:t>
      </w:r>
    </w:p>
    <w:p>
      <w:pPr/>
      <w:r>
        <w:rPr>
          <w:lang w:val="es_ES" w:bidi="es_ES"/>
        </w:rPr>
      </w:r>
      <w:r>
        <w:rPr>
          <w:lang w:val="es_ES" w:bidi="es_ES"/>
        </w:rPr>
        <w:t>Registra eventos que ocurrieron ya sea en 1376–1050 a.C. o 1200–1050 a.C.</w:t>
      </w:r>
    </w:p>
    <w:p>
      <w:pPr>
        <w:pStyle w:val="Heading3"/>
      </w:pPr>
      <w:r>
        <w:rPr>
          <w:lang w:val="es_ES" w:bidi="es_ES"/>
        </w:rPr>
        <w:t>Contexto</w:t>
      </w:r>
    </w:p>
    <w:p>
      <w:pPr/>
      <w:r>
        <w:rPr>
          <w:lang w:val="es_ES" w:bidi="es_ES"/>
        </w:rPr>
      </w:r>
      <w:r>
        <w:rPr>
          <w:lang w:val="es_ES" w:bidi="es_ES"/>
        </w:rPr>
        <w:t>Israel no lograba conquistar completamente la tierra prometida y eran oprimidos repetidamente por enemigos</w:t>
      </w:r>
      <w:r>
        <w:rPr>
          <w:lang w:val="es_ES" w:bidi="es_ES"/>
        </w:rPr>
      </w:r>
      <w:r>
        <w:rPr>
          <w:lang w:val="es_ES" w:bidi="es_E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_E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