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سِفر العدد</w:t>
      </w:r>
    </w:p>
    <w:p>
      <w:pPr>
        <w:pStyle w:val="Heading3"/>
        <w:bidi/>
      </w:pPr>
      <w:r>
        <w:rPr>
          <w:lang w:val="ar_AE" w:bidi="ar_AE"/>
        </w:rPr>
        <w:t>الهدف</w:t>
      </w:r>
    </w:p>
    <w:p>
      <w:pPr>
        <w:bidi/>
      </w:pPr>
      <w:r>
        <w:rPr>
          <w:lang w:val="ar_AE" w:bidi="ar_AE"/>
        </w:rPr>
      </w:r>
      <w:r>
        <w:rPr>
          <w:lang w:val="ar_AE" w:bidi="ar_AE"/>
        </w:rPr>
        <w:t>لتوثيق الانتقال من الجيل غير الأمين الذي خَرَج من مصر إلى الجيل الذي سيدخل أرض الميعاد</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يسجِّل الأحداث التي حدثت على الأرجح في الفترة ما بين عامي 1445 و1406 قبل الميلاد أو 1269–1230 قبل الميلاد</w:t>
      </w:r>
    </w:p>
    <w:p>
      <w:pPr>
        <w:pStyle w:val="Heading3"/>
        <w:bidi/>
      </w:pPr>
      <w:r>
        <w:rPr>
          <w:lang w:val="ar_AE" w:bidi="ar_AE"/>
        </w:rPr>
        <w:t>السياق</w:t>
      </w:r>
    </w:p>
    <w:p>
      <w:pPr>
        <w:bidi/>
      </w:pPr>
      <w:r>
        <w:rPr>
          <w:lang w:val="ar_AE" w:bidi="ar_AE"/>
        </w:rPr>
      </w:r>
      <w:r>
        <w:rPr>
          <w:lang w:val="ar_AE" w:bidi="ar_AE"/>
        </w:rPr>
        <w:t>يبدأ السفر ببني إسرائيل في سيناء، ويتتبع مسيرتهم عبر البريَّة، وينتهي بهم في عربات موآب على أعتاب أرض الميعاد.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