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سِفر القضاة</w:t>
      </w:r>
    </w:p>
    <w:p>
      <w:pPr>
        <w:pStyle w:val="Heading3"/>
        <w:bidi/>
      </w:pPr>
      <w:r>
        <w:rPr>
          <w:lang w:val="ar_AE" w:bidi="ar_AE"/>
        </w:rPr>
        <w:t>الهدف</w:t>
      </w:r>
    </w:p>
    <w:p>
      <w:pPr>
        <w:bidi/>
      </w:pPr>
      <w:r>
        <w:rPr>
          <w:lang w:val="ar_AE" w:bidi="ar_AE"/>
        </w:rPr>
      </w:r>
      <w:r>
        <w:rPr>
          <w:lang w:val="ar_AE" w:bidi="ar_AE"/>
        </w:rPr>
        <w:t>وصف عهد القضاة وعرض قضية المَلَكيَّة الإسرائيلية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في الفترة من 1376 إلى 1050 قبل الميلاد أو 1200–1050 قبل الميلاد</w:t>
      </w:r>
    </w:p>
    <w:p>
      <w:pPr>
        <w:pStyle w:val="Heading3"/>
        <w:bidi/>
      </w:pPr>
      <w:r>
        <w:rPr>
          <w:lang w:val="ar_AE" w:bidi="ar_AE"/>
        </w:rPr>
        <w:t>السياق</w:t>
      </w:r>
    </w:p>
    <w:p>
      <w:pPr>
        <w:bidi/>
      </w:pPr>
      <w:r>
        <w:rPr>
          <w:lang w:val="ar_AE" w:bidi="ar_AE"/>
        </w:rPr>
      </w:r>
      <w:r>
        <w:rPr>
          <w:lang w:val="ar_AE" w:bidi="ar_AE"/>
        </w:rPr>
        <w:t>كادت تخفق إسرائيل في الاستيلاء على أرض الميعاد كاملةً وواجهت اضطهادًا متكررًا من الأعداء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