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الثاني</w:t>
      </w:r>
      <w:r>
        <w:rPr>
          <w:lang w:val="ar_AE" w:bidi="ar_AE"/>
        </w:rPr>
      </w:r>
    </w:p>
    <w:p>
      <w:pPr>
        <w:bidi/>
      </w:pPr>
      <w:r>
        <w:rPr>
          <w:lang w:val="ar_AE" w:bidi="ar_AE"/>
        </w:rPr>
      </w:r>
      <w:r>
        <w:rPr>
          <w:lang w:val="ar_AE" w:bidi="ar_AE"/>
        </w:rPr>
        <w:t>سِفر صموئيل الثاني</w:t>
      </w:r>
    </w:p>
    <w:p>
      <w:pPr>
        <w:pStyle w:val="Heading3"/>
        <w:bidi/>
      </w:pPr>
      <w:r>
        <w:rPr>
          <w:lang w:val="ar_AE" w:bidi="ar_AE"/>
        </w:rPr>
        <w:t>الهدف</w:t>
      </w:r>
    </w:p>
    <w:p>
      <w:pPr>
        <w:bidi/>
      </w:pPr>
      <w:r>
        <w:rPr>
          <w:lang w:val="ar_AE" w:bidi="ar_AE"/>
        </w:rPr>
      </w:r>
      <w:r>
        <w:rPr>
          <w:lang w:val="ar_AE" w:bidi="ar_AE"/>
        </w:rPr>
        <w:t>وصف عهد داود وإظهار أمانة الله تجاه نسل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بعد موت شاول، سعى داود إلى تثبيت عرشه على إسرائيل بالكامِل وتوسيع الأراضي الإسرائيلية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