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كورنثوس</w:t>
      </w:r>
      <w:r>
        <w:rPr>
          <w:lang w:val="ar_AE" w:bidi="ar_AE"/>
        </w:rPr>
      </w:r>
    </w:p>
    <w:p>
      <w:pPr>
        <w:bidi/>
      </w:pPr>
      <w:r>
        <w:rPr>
          <w:lang w:val="ar_AE" w:bidi="ar_AE"/>
        </w:rPr>
      </w:r>
      <w:r>
        <w:rPr>
          <w:lang w:val="ar_AE" w:bidi="ar_AE"/>
        </w:rPr>
        <w:t>رسالة بولس الثانية إلى أهل كورنثوس</w:t>
      </w:r>
    </w:p>
    <w:p>
      <w:pPr>
        <w:pStyle w:val="Heading3"/>
        <w:bidi/>
      </w:pPr>
      <w:r>
        <w:rPr>
          <w:lang w:val="ar_AE" w:bidi="ar_AE"/>
        </w:rPr>
        <w:t>الهدف</w:t>
      </w:r>
    </w:p>
    <w:p>
      <w:pPr>
        <w:bidi/>
      </w:pPr>
      <w:r>
        <w:rPr>
          <w:lang w:val="ar_AE" w:bidi="ar_AE"/>
        </w:rPr>
      </w:r>
      <w:r>
        <w:rPr>
          <w:lang w:val="ar_AE" w:bidi="ar_AE"/>
        </w:rPr>
        <w:t>الدفاع عن السلطان الرسولي لبولس وإخماد تأثير المعلِّمين الكَذَبة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نحو عام 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بعد تلقيه تقريرًا إيجابيًّا من تيطس عن توبة كنيسة كورنثوس، الذي جاء بعد رسالة سابقة (مفقودة الآن) أرسلها بولس إليهم (انظر </w:t>
      </w:r>
      <w:hyperlink r:id="rId13">
        <w:r>
          <w:rPr>
            <w:lang w:val="ar_AE" w:bidi="ar_AE"/>
          </w:rPr>
          <w:rPr>
            <w:color w:val="0000EE"/>
            <w:u w:val="single"/>
          </w:rPr>
          <w:t>2 كورنثوس 7: 5–9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