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display God’s sovereignty and judgment</w:t>
      </w:r>
    </w:p>
    <w:p>
      <w:pPr>
        <w:pStyle w:val="ListNumber"/>
        <w:spacing w:line="240" w:lineRule="auto"/>
        <w:ind w:left="720"/>
      </w:pPr>
      <w:r>
        <w:rPr>
          <w:lang w:val="en_US" w:bidi="en_US"/>
        </w:rPr>
      </w:r>
      <w:r>
        <w:rPr>
          <w:lang w:val="en_US" w:bidi="en_US"/>
        </w:rPr>
        <w:t>To encourage readers to repent</w:t>
      </w:r>
    </w:p>
    <w:p>
      <w:pPr>
        <w:pStyle w:val="ListNumber"/>
        <w:spacing w:line="240" w:lineRule="auto"/>
        <w:ind w:left="720"/>
      </w:pPr>
      <w:r>
        <w:rPr>
          <w:lang w:val="en_US" w:bidi="en_US"/>
        </w:rPr>
      </w:r>
      <w:r>
        <w:rPr>
          <w:lang w:val="en_US" w:bidi="en_US"/>
        </w:rPr>
        <w:t>To promise restoration</w:t>
      </w:r>
    </w:p>
    <w:p>
      <w:pPr>
        <w:pStyle w:val="Heading3"/>
      </w:pPr>
      <w:r>
        <w:rPr>
          <w:lang w:val="en_US" w:bidi="en_US"/>
        </w:rPr>
        <w:t>Author</w:t>
      </w:r>
    </w:p>
    <w:p>
      <w:pPr/>
      <w:r>
        <w:rPr>
          <w:lang w:val="en_US" w:bidi="en_US"/>
        </w:rPr>
      </w:r>
      <w:r>
        <w:rPr>
          <w:lang w:val="en_US" w:bidi="en_US"/>
        </w:rPr>
        <w:t>Joel</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land of Judah, during a catastrophic locust plague (interpreted variously as literal or figurative)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