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JDG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Hakim-Hakim</w:t>
      </w:r>
      <w:r>
        <w:rPr>
          <w:lang w:val="id_ID" w:bidi="id_ID"/>
        </w:rPr>
      </w:r>
    </w:p>
    <w:p>
      <w:pPr/>
      <w:r>
        <w:rPr>
          <w:lang w:val="id_ID" w:bidi="id_ID"/>
        </w:rPr>
      </w:r>
      <w:r>
        <w:rPr>
          <w:lang w:val="id_ID" w:bidi="id_ID"/>
        </w:rPr>
        <w:t>Kitab Hakim-Hakim</w:t>
      </w:r>
    </w:p>
    <w:p>
      <w:pPr>
        <w:pStyle w:val="Heading3"/>
      </w:pPr>
      <w:r>
        <w:rPr>
          <w:lang w:val="id_ID" w:bidi="id_ID"/>
        </w:rPr>
        <w:t>Tujuan</w:t>
      </w:r>
    </w:p>
    <w:p>
      <w:pPr/>
      <w:r>
        <w:rPr>
          <w:lang w:val="id_ID" w:bidi="id_ID"/>
        </w:rPr>
      </w:r>
      <w:r>
        <w:rPr>
          <w:lang w:val="id_ID" w:bidi="id_ID"/>
        </w:rPr>
        <w:t>Menggambarkan zaman hakim-hakim dan mengajukan usul tentang Kerajaan Israel</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antara tahun 1376–1050 SM atau 1200–1050 SM</w:t>
      </w:r>
    </w:p>
    <w:p>
      <w:pPr>
        <w:pStyle w:val="Heading3"/>
      </w:pPr>
      <w:r>
        <w:rPr>
          <w:lang w:val="id_ID" w:bidi="id_ID"/>
        </w:rPr>
        <w:t>Latar Belakang</w:t>
      </w:r>
    </w:p>
    <w:p>
      <w:pPr/>
      <w:r>
        <w:rPr>
          <w:lang w:val="id_ID" w:bidi="id_ID"/>
        </w:rPr>
      </w:r>
      <w:r>
        <w:rPr>
          <w:lang w:val="id_ID" w:bidi="id_ID"/>
        </w:rPr>
        <w:t>Israel gagal menaklukkan Tanah Perjanjian sepenuhnya dan berulang kali menghadapi penindasan dari musuh-musuhnya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