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Waraka wa Tatu wa Yohana</w:t>
      </w:r>
    </w:p>
    <w:p>
      <w:pPr>
        <w:pStyle w:val="Heading3"/>
      </w:pPr>
      <w:r>
        <w:rPr>
          <w:lang w:val="sw_KE" w:bidi="sw_KE"/>
        </w:rPr>
        <w:t>Kusudi</w:t>
      </w:r>
    </w:p>
    <w:p>
      <w:pPr/>
      <w:r>
        <w:rPr>
          <w:lang w:val="sw_KE" w:bidi="sw_KE"/>
        </w:rPr>
      </w:r>
      <w:r>
        <w:rPr>
          <w:lang w:val="sw_KE" w:bidi="sw_KE"/>
        </w:rPr>
        <w:t>Kumpongeza Gayo kwa ukarimu wake kwa wajumbe wa mtume Yohana na kumkaripia Diotrefe.</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mtu fulani aliyeitwa Gayo, kwa ajili ya ukarimu wake na pia kwa ajili ya ukosefu wa ukarimu wa mtu fulani aliyeitwa Diotrefe.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