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pStyle w:val="Heading3"/>
      </w:pPr>
      <w:r>
        <w:rPr>
          <w:lang w:val="en_US" w:bidi="en_US"/>
        </w:rPr>
        <w:t>Purpose</w:t>
      </w:r>
    </w:p>
    <w:p>
      <w:pPr/>
      <w:r>
        <w:rPr>
          <w:lang w:val="en_US" w:bidi="en_US"/>
        </w:rPr>
      </w:r>
      <w:r>
        <w:rPr>
          <w:lang w:val="en_US" w:bidi="en_US"/>
        </w:rPr>
        <w:t>To document the transition from the unfaithful generation who left Egypt to the generation who would enter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1445–1406 BC or 1269–1230 BC</w:t>
      </w:r>
    </w:p>
    <w:p>
      <w:pPr>
        <w:pStyle w:val="Heading3"/>
      </w:pPr>
      <w:r>
        <w:rPr>
          <w:lang w:val="en_US" w:bidi="en_US"/>
        </w:rPr>
        <w:t>Setting</w:t>
      </w:r>
    </w:p>
    <w:p>
      <w:pPr/>
      <w:r>
        <w:rPr>
          <w:lang w:val="en_US" w:bidi="en_US"/>
        </w:rPr>
      </w:r>
      <w:r>
        <w:rPr>
          <w:lang w:val="en_US" w:bidi="en_US"/>
        </w:rPr>
        <w:t>The book begins with the Israelites at Sinai, follows their journey through the wilderness, and ends with them in the plains of Moab at the edge of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