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कुरिन्थियों के नाम पौलुस की दूसरी पत्री</w:t>
      </w:r>
    </w:p>
    <w:p>
      <w:pPr>
        <w:pStyle w:val="Heading3"/>
      </w:pPr>
      <w:r>
        <w:rPr>
          <w:lang w:val="hi_IN" w:bidi="hi_IN"/>
        </w:rPr>
        <w:t>उद्देश्य</w:t>
      </w:r>
    </w:p>
    <w:p>
      <w:pPr/>
      <w:r>
        <w:rPr>
          <w:lang w:val="hi_IN" w:bidi="hi_IN"/>
        </w:rPr>
      </w:r>
      <w:r>
        <w:rPr>
          <w:lang w:val="hi_IN" w:bidi="hi_IN"/>
        </w:rPr>
        <w:t>पौलुस के प्रेरित होने के अधिकार का बचाव करना और झूठे शिक्षकों के प्रभाव को दबाना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लगभग 56 ई. सन्.</w:t>
      </w:r>
    </w:p>
    <w:p>
      <w:pPr>
        <w:pStyle w:val="Heading3"/>
      </w:pPr>
      <w:r>
        <w:rPr>
          <w:lang w:val="hi_IN" w:bidi="hi_IN"/>
        </w:rPr>
        <w:t>घटनास्थल</w:t>
      </w:r>
    </w:p>
    <w:p>
      <w:pPr/>
      <w:r>
        <w:rPr>
          <w:lang w:val="hi_IN" w:bidi="hi_IN"/>
        </w:rPr>
      </w:r>
      <w:r>
        <w:rPr>
          <w:lang w:val="hi_IN" w:bidi="hi_IN"/>
        </w:rP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hyperlink r:id="rId13">
        <w:r>
          <w:rPr>
            <w:lang w:val="hi_IN" w:bidi="hi_IN"/>
          </w:rPr>
          <w:rPr>
            <w:color w:val="0000EE"/>
            <w:u w:val="single"/>
          </w:rPr>
          <w:t>2 कुरि 7:5–9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