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DEU</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التثنية</w:t>
      </w:r>
      <w:r>
        <w:rPr>
          <w:rtl/>
          <w:cs/>
          <w:lang w:val="ar_AE" w:bidi="ar_AE"/>
        </w:rPr>
      </w:r>
    </w:p>
    <w:p>
      <w:pPr>
        <w:bidi/>
      </w:pPr>
      <w:r>
        <w:rPr>
          <w:rtl/>
          <w:cs/>
          <w:lang w:val="ar_AE" w:bidi="ar_AE"/>
        </w:rPr>
      </w:r>
      <w:r>
        <w:rPr>
          <w:rtl/>
          <w:cs/>
          <w:lang w:val="ar_AE" w:bidi="ar_AE"/>
        </w:rPr>
        <w:t>سِفر التثنية</w:t>
      </w:r>
    </w:p>
    <w:p>
      <w:pPr>
        <w:pStyle w:val="Heading3"/>
        <w:bidi/>
      </w:pPr>
      <w:r>
        <w:rPr>
          <w:rtl/>
          <w:cs/>
          <w:lang w:val="ar_AE" w:bidi="ar_AE"/>
        </w:rPr>
        <w:t>الهدف</w:t>
      </w:r>
    </w:p>
    <w:p>
      <w:pPr>
        <w:bidi/>
      </w:pPr>
      <w:r>
        <w:rPr>
          <w:rtl/>
          <w:cs/>
          <w:lang w:val="ar_AE" w:bidi="ar_AE"/>
        </w:rPr>
      </w:r>
      <w:r>
        <w:rPr>
          <w:rtl/>
          <w:cs/>
          <w:lang w:val="ar_AE" w:bidi="ar_AE"/>
        </w:rPr>
        <w:t>تأكيد العهد والتوسُّع في توضيحه قبل موت موسى ودخول الشعب أرض الميعاد</w:t>
      </w:r>
    </w:p>
    <w:p>
      <w:pPr>
        <w:pStyle w:val="Heading3"/>
        <w:bidi/>
      </w:pPr>
      <w:r>
        <w:rPr>
          <w:rtl/>
          <w:cs/>
          <w:lang w:val="ar_AE" w:bidi="ar_AE"/>
        </w:rPr>
        <w:t>الكاتب</w:t>
      </w:r>
    </w:p>
    <w:p>
      <w:pPr>
        <w:bidi/>
      </w:pPr>
      <w:r>
        <w:rPr>
          <w:rtl/>
          <w:cs/>
          <w:lang w:val="ar_AE" w:bidi="ar_AE"/>
        </w:rPr>
      </w:r>
      <w:r>
        <w:rPr>
          <w:rtl/>
          <w:cs/>
          <w:lang w:val="ar_AE" w:bidi="ar_AE"/>
        </w:rPr>
        <w:t>موسى، بحسب التقليد</w:t>
      </w:r>
    </w:p>
    <w:p>
      <w:pPr>
        <w:pStyle w:val="Heading3"/>
        <w:bidi/>
      </w:pPr>
      <w:r>
        <w:rPr>
          <w:rtl/>
          <w:cs/>
          <w:lang w:val="ar_AE" w:bidi="ar_AE"/>
        </w:rPr>
        <w:t>الزمن</w:t>
      </w:r>
    </w:p>
    <w:p>
      <w:pPr>
        <w:bidi/>
      </w:pPr>
      <w:r>
        <w:rPr>
          <w:rtl/>
          <w:cs/>
          <w:lang w:val="ar_AE" w:bidi="ar_AE"/>
        </w:rPr>
      </w:r>
      <w:r>
        <w:rPr>
          <w:rtl/>
          <w:cs/>
          <w:lang w:val="ar_AE" w:bidi="ar_AE"/>
        </w:rPr>
        <w:t>على الأرجح إما 1406 قبل الميلاد وإما 1230 قبل الميلاد</w:t>
      </w:r>
    </w:p>
    <w:p>
      <w:pPr>
        <w:pStyle w:val="Heading3"/>
        <w:bidi/>
      </w:pPr>
      <w:r>
        <w:rPr>
          <w:rtl/>
          <w:cs/>
          <w:lang w:val="ar_AE" w:bidi="ar_AE"/>
        </w:rPr>
        <w:t>السياق</w:t>
      </w:r>
    </w:p>
    <w:p>
      <w:pPr>
        <w:bidi/>
      </w:pPr>
      <w:r>
        <w:rPr>
          <w:rtl/>
          <w:cs/>
          <w:lang w:val="ar_AE" w:bidi="ar_AE"/>
        </w:rPr>
      </w:r>
      <w:r>
        <w:rPr>
          <w:rtl/>
          <w:cs/>
          <w:lang w:val="ar_AE" w:bidi="ar_AE"/>
        </w:rPr>
        <w:t>بنو إسرائيل على وشك دخول أرض الميعاد، وموسى في آخر أيامه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