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نحميا</w:t>
      </w:r>
      <w:r>
        <w:rPr>
          <w:rtl/>
          <w:cs/>
          <w:lang w:val="ar_AE" w:bidi="ar_AE"/>
        </w:rPr>
      </w:r>
    </w:p>
    <w:p>
      <w:pPr>
        <w:bidi/>
      </w:pPr>
      <w:r>
        <w:rPr>
          <w:rtl/>
          <w:cs/>
          <w:lang w:val="ar_AE" w:bidi="ar_AE"/>
        </w:rPr>
      </w:r>
      <w:r>
        <w:rPr>
          <w:rtl/>
          <w:cs/>
          <w:lang w:val="ar_AE" w:bidi="ar_AE"/>
        </w:rPr>
        <w:t>سِفر نحميا</w:t>
      </w:r>
    </w:p>
    <w:p>
      <w:pPr>
        <w:pStyle w:val="Heading3"/>
        <w:bidi/>
      </w:pPr>
      <w:r>
        <w:rPr>
          <w:rtl/>
          <w:cs/>
          <w:lang w:val="ar_AE" w:bidi="ar_AE"/>
        </w:rPr>
        <w:t>الهدف</w:t>
      </w:r>
    </w:p>
    <w:p>
      <w:pPr>
        <w:bidi/>
      </w:pPr>
      <w:r>
        <w:rPr>
          <w:rtl/>
          <w:cs/>
          <w:lang w:val="ar_AE" w:bidi="ar_AE"/>
        </w:rPr>
      </w:r>
      <w:r>
        <w:rPr>
          <w:rtl/>
          <w:cs/>
          <w:lang w:val="ar_AE" w:bidi="ar_AE"/>
        </w:rPr>
        <w:t>تسجيل إعادة بناء سور أورشليم وإظهار أمانة الله للمكرَّسين له</w:t>
      </w:r>
    </w:p>
    <w:p>
      <w:pPr>
        <w:pStyle w:val="Heading3"/>
        <w:bidi/>
      </w:pPr>
      <w:r>
        <w:rPr>
          <w:rtl/>
          <w:cs/>
          <w:lang w:val="ar_AE" w:bidi="ar_AE"/>
        </w:rPr>
        <w:t>الكاتب</w:t>
      </w:r>
    </w:p>
    <w:p>
      <w:pPr>
        <w:bidi/>
      </w:pPr>
      <w:r>
        <w:rPr>
          <w:rtl/>
          <w:cs/>
          <w:lang w:val="ar_AE" w:bidi="ar_AE"/>
        </w:rPr>
      </w:r>
      <w:r>
        <w:rPr>
          <w:rtl/>
          <w:cs/>
          <w:lang w:val="ar_AE" w:bidi="ar_AE"/>
        </w:rPr>
        <w:t>عزرا، بحسب التقليد</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445–430 قبل الميلاد</w:t>
      </w:r>
    </w:p>
    <w:p>
      <w:pPr>
        <w:pStyle w:val="Heading3"/>
        <w:bidi/>
      </w:pPr>
      <w:r>
        <w:rPr>
          <w:rtl/>
          <w:cs/>
          <w:lang w:val="ar_AE" w:bidi="ar_AE"/>
        </w:rPr>
        <w:t>السياق</w:t>
      </w:r>
    </w:p>
    <w:p>
      <w:pPr>
        <w:bidi/>
      </w:pPr>
      <w:r>
        <w:rPr>
          <w:rtl/>
          <w:cs/>
          <w:lang w:val="ar_AE" w:bidi="ar_AE"/>
        </w:rPr>
      </w:r>
      <w:r>
        <w:rPr>
          <w:rtl/>
          <w:cs/>
          <w:lang w:val="ar_AE" w:bidi="ar_AE"/>
        </w:rPr>
        <w:t>أورشليم، بعد نحو خمس عشرة سنة من وصول عزرا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