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EST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أستير</w:t>
      </w:r>
      <w:r>
        <w:rPr>
          <w:rtl/>
          <w:cs/>
          <w:lang w:val="ar_AE" w:bidi="ar_AE"/>
        </w:rPr>
      </w:r>
    </w:p>
    <w:p>
      <w:pPr>
        <w:bidi/>
      </w:pPr>
      <w:r>
        <w:rPr>
          <w:rtl/>
          <w:cs/>
          <w:lang w:val="ar_AE" w:bidi="ar_AE"/>
        </w:rPr>
      </w:r>
      <w:r>
        <w:rPr>
          <w:rtl/>
          <w:cs/>
          <w:lang w:val="ar_AE" w:bidi="ar_AE"/>
        </w:rPr>
        <w:t>سِفر أستير</w:t>
      </w:r>
    </w:p>
    <w:p>
      <w:pPr>
        <w:pStyle w:val="Heading3"/>
        <w:bidi/>
      </w:pPr>
      <w:r>
        <w:rPr>
          <w:rtl/>
          <w:cs/>
          <w:lang w:val="ar_AE" w:bidi="ar_AE"/>
        </w:rPr>
        <w:t>الهدف</w:t>
      </w:r>
    </w:p>
    <w:p>
      <w:pPr>
        <w:bidi/>
      </w:pPr>
      <w:r>
        <w:rPr>
          <w:rtl/>
          <w:cs/>
          <w:lang w:val="ar_AE" w:bidi="ar_AE"/>
        </w:rPr>
      </w:r>
      <w:r>
        <w:rPr>
          <w:rtl/>
          <w:cs/>
          <w:lang w:val="ar_AE" w:bidi="ar_AE"/>
        </w:rPr>
        <w:t>إظهار رعاية الله لشعبه وتتبع أصل عيد الفوريم</w:t>
      </w:r>
    </w:p>
    <w:p>
      <w:pPr>
        <w:pStyle w:val="Heading3"/>
        <w:bidi/>
      </w:pPr>
      <w:r>
        <w:rPr>
          <w:rtl/>
          <w:cs/>
          <w:lang w:val="ar_AE" w:bidi="ar_AE"/>
        </w:rPr>
        <w:t>الكاتب</w:t>
      </w:r>
    </w:p>
    <w:p>
      <w:pPr>
        <w:bidi/>
      </w:pPr>
      <w:r>
        <w:rPr>
          <w:rtl/>
          <w:cs/>
          <w:lang w:val="ar_AE" w:bidi="ar_AE"/>
        </w:rPr>
      </w:r>
      <w:r>
        <w:rPr>
          <w:rtl/>
          <w:cs/>
          <w:lang w:val="ar_AE" w:bidi="ar_AE"/>
        </w:rPr>
        <w:t>مجهول</w:t>
      </w:r>
    </w:p>
    <w:p>
      <w:pPr>
        <w:pStyle w:val="Heading3"/>
        <w:bidi/>
      </w:pPr>
      <w:r>
        <w:rPr>
          <w:rtl/>
          <w:cs/>
          <w:lang w:val="ar_AE" w:bidi="ar_AE"/>
        </w:rPr>
        <w:t>الزمن</w:t>
      </w:r>
    </w:p>
    <w:p>
      <w:pPr>
        <w:bidi/>
      </w:pPr>
      <w:r>
        <w:rPr>
          <w:rtl/>
          <w:cs/>
          <w:lang w:val="ar_AE" w:bidi="ar_AE"/>
        </w:rPr>
      </w:r>
      <w:r>
        <w:rPr>
          <w:rtl/>
          <w:cs/>
          <w:lang w:val="ar_AE" w:bidi="ar_AE"/>
        </w:rPr>
        <w:t>يسجِّل الأحداث التي وقعت نحو 483–473 قبل الميلاد</w:t>
      </w:r>
    </w:p>
    <w:p>
      <w:pPr>
        <w:pStyle w:val="Heading3"/>
        <w:bidi/>
      </w:pPr>
      <w:r>
        <w:rPr>
          <w:rtl/>
          <w:cs/>
          <w:lang w:val="ar_AE" w:bidi="ar_AE"/>
        </w:rPr>
        <w:t>السياق</w:t>
      </w:r>
    </w:p>
    <w:p>
      <w:pPr>
        <w:bidi/>
      </w:pPr>
      <w:r>
        <w:rPr>
          <w:rtl/>
          <w:cs/>
          <w:lang w:val="ar_AE" w:bidi="ar_AE"/>
        </w:rPr>
      </w:r>
      <w:r>
        <w:rPr>
          <w:rtl/>
          <w:cs/>
          <w:lang w:val="ar_AE" w:bidi="ar_AE"/>
        </w:rPr>
        <w:t>العاصمة الفارسية شوشن في عهد المَلِك أَحَشْوِيرُوش بعد عودة عدد من اليهود إلى يهوذا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