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أيوب</w:t>
      </w:r>
      <w:r>
        <w:rPr>
          <w:rtl/>
          <w:cs/>
          <w:lang w:val="ar_AE" w:bidi="ar_AE"/>
        </w:rPr>
      </w:r>
    </w:p>
    <w:p>
      <w:pPr>
        <w:bidi/>
      </w:pPr>
      <w:r>
        <w:rPr>
          <w:rtl/>
          <w:cs/>
          <w:lang w:val="ar_AE" w:bidi="ar_AE"/>
        </w:rPr>
      </w:r>
      <w:r>
        <w:rPr>
          <w:rtl/>
          <w:cs/>
          <w:lang w:val="ar_AE" w:bidi="ar_AE"/>
        </w:rPr>
        <w:t>سِفر أيوب</w:t>
      </w:r>
    </w:p>
    <w:p>
      <w:pPr>
        <w:pStyle w:val="Heading3"/>
        <w:bidi/>
      </w:pPr>
      <w:r>
        <w:rPr>
          <w:rtl/>
          <w:cs/>
          <w:lang w:val="ar_AE" w:bidi="ar_AE"/>
        </w:rPr>
        <w:t>الهدف</w:t>
      </w:r>
    </w:p>
    <w:p>
      <w:pPr>
        <w:bidi/>
      </w:pPr>
      <w:r>
        <w:rPr>
          <w:rtl/>
          <w:cs/>
          <w:lang w:val="ar_AE" w:bidi="ar_AE"/>
        </w:rPr>
      </w:r>
      <w:r>
        <w:rPr>
          <w:rtl/>
          <w:cs/>
          <w:lang w:val="ar_AE" w:bidi="ar_AE"/>
        </w:rPr>
        <w:t>التأمل في قضية الألم البشري، من خلال التشكيك، في المقام الأول، في العلاقة بين الخير الأخلاقي والرخاء</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مجهول</w:t>
      </w:r>
    </w:p>
    <w:p>
      <w:pPr>
        <w:pStyle w:val="Heading3"/>
        <w:bidi/>
      </w:pPr>
      <w:r>
        <w:rPr>
          <w:rtl/>
          <w:cs/>
          <w:lang w:val="ar_AE" w:bidi="ar_AE"/>
        </w:rPr>
        <w:t>السياق</w:t>
      </w:r>
    </w:p>
    <w:p>
      <w:pPr>
        <w:bidi/>
      </w:pPr>
      <w:r>
        <w:rPr>
          <w:rtl/>
          <w:cs/>
          <w:lang w:val="ar_AE" w:bidi="ar_AE"/>
        </w:rPr>
      </w:r>
      <w:r>
        <w:rPr>
          <w:rtl/>
          <w:cs/>
          <w:lang w:val="ar_AE" w:bidi="ar_AE"/>
        </w:rPr>
        <w:t>فترة الآباء الأوائل، ربما في أرض أدوم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