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 Summaries)</w:t>
      </w:r>
      <w:r>
        <w:rPr>
          <w:rtl/>
          <w:cs/>
          <w:lang w:val="ar_AE" w:bidi="ar_AE"/>
        </w:rPr>
      </w:r>
    </w:p>
    <w:p>
      <w:pPr>
        <w:bidi/>
      </w:pPr>
      <w:r>
        <w:rPr>
          <w:rtl/>
          <w:cs/>
          <w:lang w:val="ar_AE" w:bidi="ar_AE"/>
        </w:rPr>
      </w:r>
      <w:r>
        <w:rPr>
          <w:b/>
          <w:rtl/>
          <w:cs/>
          <w:lang w:val="ar_AE" w:bidi="ar_AE"/>
        </w:rPr>
        <w:t>Aquifer Open Study Notes (Book Intro Summaries)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AMO</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سفر عاموس</w:t>
      </w:r>
      <w:r>
        <w:rPr>
          <w:rtl/>
          <w:cs/>
          <w:lang w:val="ar_AE" w:bidi="ar_AE"/>
        </w:rPr>
      </w:r>
    </w:p>
    <w:p>
      <w:pPr>
        <w:bidi/>
      </w:pPr>
      <w:r>
        <w:rPr>
          <w:rtl/>
          <w:cs/>
          <w:lang w:val="ar_AE" w:bidi="ar_AE"/>
        </w:rPr>
      </w:r>
      <w:r>
        <w:rPr>
          <w:rtl/>
          <w:cs/>
          <w:lang w:val="ar_AE" w:bidi="ar_AE"/>
        </w:rPr>
        <w:t>سِفر عاموس</w:t>
      </w:r>
    </w:p>
    <w:p>
      <w:pPr>
        <w:pStyle w:val="Heading3"/>
        <w:bidi/>
      </w:pPr>
      <w:r>
        <w:rPr>
          <w:rtl/>
          <w:cs/>
          <w:lang w:val="ar_AE" w:bidi="ar_AE"/>
        </w:rPr>
        <w:t>الهدف</w:t>
      </w:r>
    </w:p>
    <w:p>
      <w:pPr>
        <w:bidi/>
      </w:pPr>
      <w:r>
        <w:rPr>
          <w:rtl/>
          <w:cs/>
          <w:lang w:val="ar_AE" w:bidi="ar_AE"/>
        </w:rPr>
      </w:r>
      <w:r>
        <w:rPr>
          <w:rtl/>
          <w:cs/>
          <w:lang w:val="ar_AE" w:bidi="ar_AE"/>
        </w:rPr>
        <w:t>مواجهة ارتداد المملكة الشمالية وقَمع المهمشين</w:t>
      </w:r>
    </w:p>
    <w:p>
      <w:pPr>
        <w:pStyle w:val="Heading3"/>
        <w:bidi/>
      </w:pPr>
      <w:r>
        <w:rPr>
          <w:rtl/>
          <w:cs/>
          <w:lang w:val="ar_AE" w:bidi="ar_AE"/>
        </w:rPr>
        <w:t>الكاتب</w:t>
      </w:r>
    </w:p>
    <w:p>
      <w:pPr>
        <w:bidi/>
      </w:pPr>
      <w:r>
        <w:rPr>
          <w:rtl/>
          <w:cs/>
          <w:lang w:val="ar_AE" w:bidi="ar_AE"/>
        </w:rPr>
      </w:r>
      <w:r>
        <w:rPr>
          <w:rtl/>
          <w:cs/>
          <w:lang w:val="ar_AE" w:bidi="ar_AE"/>
        </w:rPr>
        <w:t>سفر عاموس</w:t>
      </w:r>
    </w:p>
    <w:p>
      <w:pPr>
        <w:pStyle w:val="Heading3"/>
        <w:bidi/>
      </w:pPr>
      <w:r>
        <w:rPr>
          <w:rtl/>
          <w:cs/>
          <w:lang w:val="ar_AE" w:bidi="ar_AE"/>
        </w:rPr>
        <w:t>الزمن</w:t>
      </w:r>
    </w:p>
    <w:p>
      <w:pPr>
        <w:bidi/>
      </w:pPr>
      <w:r>
        <w:rPr>
          <w:rtl/>
          <w:cs/>
          <w:lang w:val="ar_AE" w:bidi="ar_AE"/>
        </w:rPr>
      </w:r>
      <w:r>
        <w:rPr>
          <w:rtl/>
          <w:cs/>
          <w:lang w:val="ar_AE" w:bidi="ar_AE"/>
        </w:rPr>
        <w:t>نحو 755 قبل الميلاد</w:t>
      </w:r>
    </w:p>
    <w:p>
      <w:pPr>
        <w:pStyle w:val="Heading3"/>
        <w:bidi/>
      </w:pPr>
      <w:r>
        <w:rPr>
          <w:rtl/>
          <w:cs/>
          <w:lang w:val="ar_AE" w:bidi="ar_AE"/>
        </w:rPr>
        <w:t>السياق</w:t>
      </w:r>
    </w:p>
    <w:p>
      <w:pPr>
        <w:bidi/>
      </w:pPr>
      <w:r>
        <w:rPr>
          <w:rtl/>
          <w:cs/>
          <w:lang w:val="ar_AE" w:bidi="ar_AE"/>
        </w:rPr>
      </w:r>
      <w:r>
        <w:rPr>
          <w:rtl/>
          <w:cs/>
          <w:lang w:val="ar_AE" w:bidi="ar_AE"/>
        </w:rPr>
        <w:t>مذبح بيت إيل في المملكة الشمالية في عهد يربعام الثاني</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