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HAG</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حَجَّي</w:t>
      </w:r>
      <w:r>
        <w:rPr>
          <w:rtl/>
          <w:cs/>
          <w:lang w:val="ar_AE" w:bidi="ar_AE"/>
        </w:rPr>
      </w:r>
    </w:p>
    <w:p>
      <w:pPr>
        <w:bidi/>
      </w:pPr>
      <w:r>
        <w:rPr>
          <w:rtl/>
          <w:cs/>
          <w:lang w:val="ar_AE" w:bidi="ar_AE"/>
        </w:rPr>
      </w:r>
      <w:r>
        <w:rPr>
          <w:rtl/>
          <w:cs/>
          <w:lang w:val="ar_AE" w:bidi="ar_AE"/>
        </w:rPr>
        <w:t>سِفر حَجَّي</w:t>
      </w:r>
    </w:p>
    <w:p>
      <w:pPr>
        <w:pStyle w:val="Heading3"/>
        <w:bidi/>
      </w:pPr>
      <w:r>
        <w:rPr>
          <w:rtl/>
          <w:cs/>
          <w:lang w:val="ar_AE" w:bidi="ar_AE"/>
        </w:rPr>
        <w:t>الهدف</w:t>
      </w:r>
    </w:p>
    <w:p>
      <w:pPr>
        <w:bidi/>
      </w:pPr>
      <w:r>
        <w:rPr>
          <w:rtl/>
          <w:cs/>
          <w:lang w:val="ar_AE" w:bidi="ar_AE"/>
        </w:rPr>
      </w:r>
      <w:r>
        <w:rPr>
          <w:rtl/>
          <w:cs/>
          <w:lang w:val="ar_AE" w:bidi="ar_AE"/>
        </w:rPr>
        <w:t>تشجيع اليهود على استئناف إعادة بناء الهيكل وتشديد التجديد الروحي</w:t>
      </w:r>
    </w:p>
    <w:p>
      <w:pPr>
        <w:pStyle w:val="Heading3"/>
        <w:bidi/>
      </w:pPr>
      <w:r>
        <w:rPr>
          <w:rtl/>
          <w:cs/>
          <w:lang w:val="ar_AE" w:bidi="ar_AE"/>
        </w:rPr>
        <w:t>الكاتب</w:t>
      </w:r>
    </w:p>
    <w:p>
      <w:pPr>
        <w:bidi/>
      </w:pPr>
      <w:r>
        <w:rPr>
          <w:rtl/>
          <w:cs/>
          <w:lang w:val="ar_AE" w:bidi="ar_AE"/>
        </w:rPr>
      </w:r>
      <w:r>
        <w:rPr>
          <w:rtl/>
          <w:cs/>
          <w:lang w:val="ar_AE" w:bidi="ar_AE"/>
        </w:rPr>
        <w:t>سفر حَجَّي</w:t>
      </w:r>
    </w:p>
    <w:p>
      <w:pPr>
        <w:pStyle w:val="Heading3"/>
        <w:bidi/>
      </w:pPr>
      <w:r>
        <w:rPr>
          <w:rtl/>
          <w:cs/>
          <w:lang w:val="ar_AE" w:bidi="ar_AE"/>
        </w:rPr>
        <w:t>الزمن</w:t>
      </w:r>
    </w:p>
    <w:p>
      <w:pPr>
        <w:bidi/>
      </w:pPr>
      <w:r>
        <w:rPr>
          <w:rtl/>
          <w:cs/>
          <w:lang w:val="ar_AE" w:bidi="ar_AE"/>
        </w:rPr>
      </w:r>
      <w:r>
        <w:rPr>
          <w:rtl/>
          <w:cs/>
          <w:lang w:val="ar_AE" w:bidi="ar_AE"/>
        </w:rPr>
        <w:t>520 قبل الميلاد</w:t>
      </w:r>
    </w:p>
    <w:p>
      <w:pPr>
        <w:pStyle w:val="Heading3"/>
        <w:bidi/>
      </w:pPr>
      <w:r>
        <w:rPr>
          <w:rtl/>
          <w:cs/>
          <w:lang w:val="ar_AE" w:bidi="ar_AE"/>
        </w:rPr>
        <w:t>السياق</w:t>
      </w:r>
    </w:p>
    <w:p>
      <w:pPr>
        <w:bidi/>
      </w:pPr>
      <w:r>
        <w:rPr>
          <w:rtl/>
          <w:cs/>
          <w:lang w:val="ar_AE" w:bidi="ar_AE"/>
        </w:rPr>
      </w:r>
      <w:r>
        <w:rPr>
          <w:rtl/>
          <w:cs/>
          <w:lang w:val="ar_AE" w:bidi="ar_AE"/>
        </w:rPr>
        <w:t>في أورشليم بعد قرابة من عشرين عامًا من سماح كورش لليهود بالعودة، وإعادة بناء الهيكل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