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ROM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إلى أهل رومية</w:t>
      </w:r>
      <w:r>
        <w:rPr>
          <w:rtl/>
          <w:cs/>
          <w:lang w:val="ar_AE" w:bidi="ar_AE"/>
        </w:rPr>
      </w:r>
    </w:p>
    <w:p>
      <w:pPr>
        <w:bidi/>
      </w:pPr>
      <w:r>
        <w:rPr>
          <w:rtl/>
          <w:cs/>
          <w:lang w:val="ar_AE" w:bidi="ar_AE"/>
        </w:rPr>
      </w:r>
      <w:r>
        <w:rPr>
          <w:rtl/>
          <w:cs/>
          <w:lang w:val="ar_AE" w:bidi="ar_AE"/>
        </w:rPr>
        <w:t>رسالة بولس الرسول إلى أهل رومية</w:t>
      </w:r>
    </w:p>
    <w:p>
      <w:pPr>
        <w:pStyle w:val="Heading3"/>
        <w:bidi/>
      </w:pPr>
      <w:r>
        <w:rPr>
          <w:rtl/>
          <w:cs/>
          <w:lang w:val="ar_AE" w:bidi="ar_AE"/>
        </w:rPr>
        <w:t>الهدف</w:t>
      </w:r>
    </w:p>
    <w:p>
      <w:pPr>
        <w:bidi/>
      </w:pPr>
      <w:r>
        <w:rPr>
          <w:rtl/>
          <w:cs/>
          <w:lang w:val="ar_AE" w:bidi="ar_AE"/>
        </w:rPr>
      </w:r>
      <w:r>
        <w:rPr>
          <w:rtl/>
          <w:cs/>
          <w:lang w:val="ar_AE" w:bidi="ar_AE"/>
        </w:rPr>
        <w:t>توضيح البشارة ومعالجة الانقسامات اللاهوتية والاجتماعية التي نشأت في كنيسة تتكوَّن من اليهود والأمم</w:t>
      </w:r>
    </w:p>
    <w:p>
      <w:pPr>
        <w:pStyle w:val="Heading3"/>
        <w:bidi/>
      </w:pPr>
      <w:r>
        <w:rPr>
          <w:rtl/>
          <w:cs/>
          <w:lang w:val="ar_AE" w:bidi="ar_AE"/>
        </w:rPr>
        <w:t>الكاتب</w:t>
      </w:r>
    </w:p>
    <w:p>
      <w:pPr>
        <w:bidi/>
      </w:pPr>
      <w:r>
        <w:rPr>
          <w:rtl/>
          <w:cs/>
          <w:lang w:val="ar_AE" w:bidi="ar_AE"/>
        </w:rPr>
      </w:r>
      <w:r>
        <w:rPr>
          <w:rtl/>
          <w:cs/>
          <w:lang w:val="ar_AE" w:bidi="ar_AE"/>
        </w:rPr>
        <w:t>بولس</w:t>
      </w:r>
    </w:p>
    <w:p>
      <w:pPr>
        <w:pStyle w:val="Heading3"/>
        <w:bidi/>
      </w:pPr>
      <w:r>
        <w:rPr>
          <w:rtl/>
          <w:cs/>
          <w:lang w:val="ar_AE" w:bidi="ar_AE"/>
        </w:rPr>
        <w:t>الزمن</w:t>
      </w:r>
    </w:p>
    <w:p>
      <w:pPr>
        <w:bidi/>
      </w:pPr>
      <w:r>
        <w:rPr>
          <w:rtl/>
          <w:cs/>
          <w:lang w:val="ar_AE" w:bidi="ar_AE"/>
        </w:rPr>
      </w:r>
      <w:r>
        <w:rPr>
          <w:rtl/>
          <w:cs/>
          <w:lang w:val="ar_AE" w:bidi="ar_AE"/>
        </w:rPr>
        <w:t>على الأرجح نحو عام 57 بعد الميلاد، قرب نهاية رحلته التبشيرية الثالثة</w:t>
      </w:r>
    </w:p>
    <w:p>
      <w:pPr>
        <w:pStyle w:val="Heading3"/>
        <w:bidi/>
      </w:pPr>
      <w:r>
        <w:rPr>
          <w:rtl/>
          <w:cs/>
          <w:lang w:val="ar_AE" w:bidi="ar_AE"/>
        </w:rPr>
        <w:t>السياق</w:t>
      </w:r>
    </w:p>
    <w:p>
      <w:pPr>
        <w:bidi/>
      </w:pPr>
      <w:r>
        <w:rPr>
          <w:rtl/>
          <w:cs/>
          <w:lang w:val="ar_AE" w:bidi="ar_AE"/>
        </w:rPr>
      </w:r>
      <w:r>
        <w:rPr>
          <w:rtl/>
          <w:cs/>
          <w:lang w:val="ar_AE" w:bidi="ar_AE"/>
        </w:rPr>
        <w:t>ربما كُتبَ في كورنثوس قرب ختام نشاط بولس التبشيري، بينما كان يخطط لزيارة الكنيسة في روما في طريقه إلى إسبانيا، بعد تسليم عطية لكنيسة أورشليم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