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Study Notes (Book Intro Summaries)</w:t>
      </w:r>
      <w:r>
        <w:rPr>
          <w:rtl/>
          <w:cs/>
          <w:lang w:val="ar_AE" w:bidi="ar_AE"/>
        </w:rPr>
      </w:r>
    </w:p>
    <w:p>
      <w:pPr>
        <w:bidi/>
      </w:pPr>
      <w:r>
        <w:rPr>
          <w:rtl/>
          <w:cs/>
          <w:lang w:val="ar_AE" w:bidi="ar_AE"/>
        </w:rPr>
      </w:r>
      <w:r>
        <w:rPr>
          <w:b/>
          <w:rtl/>
          <w:cs/>
          <w:lang w:val="ar_AE" w:bidi="ar_AE"/>
        </w:rPr>
        <w:t>Aquifer Open Study Notes (Book Intro Summaries)</w:t>
      </w:r>
    </w:p>
    <w:p>
      <w:pPr>
        <w:bidi/>
      </w:pPr>
      <w:r>
        <w:rPr>
          <w:rtl/>
          <w:cs/>
          <w:lang w:val="ar_AE" w:bidi="ar_AE"/>
        </w:rPr>
      </w:r>
      <w:r>
        <w:rPr>
          <w:rtl/>
          <w:cs/>
          <w:lang w:val="ar_AE" w:bidi="ar_AE"/>
        </w:rPr>
        <w:t xml:space="preserve">This work is an adaptation of </w:t>
      </w:r>
      <w:r>
        <w:rPr>
          <w:rtl/>
          <w:cs/>
          <w:lang w:val="ar_AE" w:bidi="ar_AE"/>
        </w:rPr>
        <w:t>Tyndale Open Study Notes</w:t>
      </w:r>
      <w:r>
        <w:rPr>
          <w:rtl/>
          <w:cs/>
          <w:lang w:val="ar_AE" w:bidi="ar_AE"/>
        </w:rPr>
        <w:t xml:space="preserve"> © 2023 Tyndale House Publishers, licensed under the CC BY-SA 4.0 license. The adaptation, </w:t>
      </w:r>
      <w:r>
        <w:rPr>
          <w:rtl/>
          <w:cs/>
          <w:lang w:val="ar_AE" w:bidi="ar_AE"/>
        </w:rPr>
        <w:t>Aquifer Open Study Notes</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2TI</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الرسالة الثانية إلى تيموثاوس</w:t>
      </w:r>
      <w:r>
        <w:rPr>
          <w:rtl/>
          <w:cs/>
          <w:lang w:val="ar_AE" w:bidi="ar_AE"/>
        </w:rPr>
      </w:r>
    </w:p>
    <w:p>
      <w:pPr>
        <w:bidi/>
      </w:pPr>
      <w:r>
        <w:rPr>
          <w:rtl/>
          <w:cs/>
          <w:lang w:val="ar_AE" w:bidi="ar_AE"/>
        </w:rPr>
      </w:r>
      <w:r>
        <w:rPr>
          <w:rtl/>
          <w:cs/>
          <w:lang w:val="ar_AE" w:bidi="ar_AE"/>
        </w:rPr>
        <w:t>رسالة بولس الثانية إلى تيموثاوس</w:t>
      </w:r>
    </w:p>
    <w:p>
      <w:pPr>
        <w:pStyle w:val="Heading3"/>
        <w:bidi/>
      </w:pPr>
      <w:r>
        <w:rPr>
          <w:rtl/>
          <w:cs/>
          <w:lang w:val="ar_AE" w:bidi="ar_AE"/>
        </w:rPr>
        <w:t>الهدف</w:t>
      </w:r>
    </w:p>
    <w:p>
      <w:pPr>
        <w:bidi/>
      </w:pPr>
      <w:r>
        <w:rPr>
          <w:rtl/>
          <w:cs/>
          <w:lang w:val="ar_AE" w:bidi="ar_AE"/>
        </w:rPr>
      </w:r>
      <w:r>
        <w:rPr>
          <w:rtl/>
          <w:cs/>
          <w:lang w:val="ar_AE" w:bidi="ar_AE"/>
        </w:rPr>
        <w:t>تكليف تيموثاوس بمواصلة العمل الذي بدأه بولس وتشجيع تيموثاوس على احتمال المعاناة</w:t>
      </w:r>
    </w:p>
    <w:p>
      <w:pPr>
        <w:pStyle w:val="Heading3"/>
        <w:bidi/>
      </w:pPr>
      <w:r>
        <w:rPr>
          <w:rtl/>
          <w:cs/>
          <w:lang w:val="ar_AE" w:bidi="ar_AE"/>
        </w:rPr>
        <w:t>الكاتب</w:t>
      </w:r>
    </w:p>
    <w:p>
      <w:pPr>
        <w:bidi/>
      </w:pPr>
      <w:r>
        <w:rPr>
          <w:rtl/>
          <w:cs/>
          <w:lang w:val="ar_AE" w:bidi="ar_AE"/>
        </w:rPr>
      </w:r>
      <w:r>
        <w:rPr>
          <w:rtl/>
          <w:cs/>
          <w:lang w:val="ar_AE" w:bidi="ar_AE"/>
        </w:rPr>
        <w:t>بولس</w:t>
      </w:r>
    </w:p>
    <w:p>
      <w:pPr>
        <w:pStyle w:val="Heading3"/>
        <w:bidi/>
      </w:pPr>
      <w:r>
        <w:rPr>
          <w:rtl/>
          <w:cs/>
          <w:lang w:val="ar_AE" w:bidi="ar_AE"/>
        </w:rPr>
        <w:t>الزمن</w:t>
      </w:r>
    </w:p>
    <w:p>
      <w:pPr>
        <w:bidi/>
      </w:pPr>
      <w:r>
        <w:rPr>
          <w:rtl/>
          <w:cs/>
          <w:lang w:val="ar_AE" w:bidi="ar_AE"/>
        </w:rPr>
      </w:r>
      <w:r>
        <w:rPr>
          <w:rtl/>
          <w:cs/>
          <w:lang w:val="ar_AE" w:bidi="ar_AE"/>
        </w:rPr>
        <w:t>على الأرجح نحو عام 64 بعد الميلاد</w:t>
      </w:r>
    </w:p>
    <w:p>
      <w:pPr>
        <w:pStyle w:val="Heading3"/>
        <w:bidi/>
      </w:pPr>
      <w:r>
        <w:rPr>
          <w:rtl/>
          <w:cs/>
          <w:lang w:val="ar_AE" w:bidi="ar_AE"/>
        </w:rPr>
        <w:t>السياق</w:t>
      </w:r>
    </w:p>
    <w:p>
      <w:pPr>
        <w:bidi/>
      </w:pPr>
      <w:r>
        <w:rPr>
          <w:rtl/>
          <w:cs/>
          <w:lang w:val="ar_AE" w:bidi="ar_AE"/>
        </w:rPr>
      </w:r>
      <w:r>
        <w:rPr>
          <w:rtl/>
          <w:cs/>
          <w:lang w:val="ar_AE" w:bidi="ar_AE"/>
        </w:rPr>
        <w:t>كُتبت على الأرجح أثناء السجن الثاني لبولس في روما، قبل وقت قصير من موته، الذي فَهِمَ أنه كان وشيكًا</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