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w:t>
      </w:r>
      <w:r>
        <w:rPr>
          <w:lang w:val="en_US" w:bidi="en_US"/>
        </w:rPr>
      </w:r>
    </w:p>
    <w:p>
      <w:pPr>
        <w:pStyle w:val="Heading3"/>
      </w:pPr>
      <w:r>
        <w:rPr>
          <w:lang w:val="en_US" w:bidi="en_US"/>
        </w:rPr>
        <w:t>Purpose</w:t>
      </w:r>
    </w:p>
    <w:p>
      <w:pPr/>
      <w:r>
        <w:rPr>
          <w:lang w:val="en_US" w:bidi="en_US"/>
        </w:rPr>
      </w:r>
      <w:r>
        <w:rPr>
          <w:lang w:val="en_US" w:bidi="en_US"/>
        </w:rPr>
        <w:t>To give readers hope for a restored kingdom of Israel characterized by proper worship</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Likely written around 400 BC, recording events that occurred around 971–538 BC</w:t>
      </w:r>
    </w:p>
    <w:p>
      <w:pPr>
        <w:pStyle w:val="Heading3"/>
      </w:pPr>
      <w:r>
        <w:rPr>
          <w:lang w:val="en_US" w:bidi="en_US"/>
        </w:rPr>
        <w:t>Setting</w:t>
      </w:r>
    </w:p>
    <w:p>
      <w:pPr/>
      <w:r>
        <w:rPr>
          <w:lang w:val="en_US" w:bidi="en_US"/>
        </w:rPr>
      </w:r>
      <w:r>
        <w:rPr>
          <w:lang w:val="en_US" w:bidi="en_US"/>
        </w:rPr>
        <w:t>Judea, after the Babylonian exile, during Persian rule. The account begins with the reign of Solomon and ends with Cyrus’s proclamation allowing the people to return to Judea</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