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Aquifer Open Study Notes (Book Intro Summaries)</w:t>
      </w:r>
      <w:r>
        <w:rPr>
          <w:lang w:val="en_US" w:bidi="en_US"/>
        </w:rPr>
      </w:r>
    </w:p>
    <w:p>
      <w:pPr/>
      <w:r>
        <w:rPr>
          <w:lang w:val="en_US" w:bidi="en_US"/>
        </w:rPr>
      </w:r>
      <w:r>
        <w:rPr>
          <w:b/>
          <w:lang w:val="en_US" w:bidi="en_US"/>
        </w:rPr>
        <w:t>Aquifer Open Study Notes (Book Intro Summaries)</w:t>
      </w:r>
    </w:p>
    <w:p>
      <w:pPr/>
      <w:r>
        <w:rPr>
          <w:lang w:val="en_US" w:bidi="en_US"/>
        </w:rPr>
      </w:r>
      <w:r>
        <w:rPr>
          <w:lang w:val="en_US" w:bidi="en_US"/>
        </w:rPr>
        <w:t xml:space="preserve">This work is an adaptation of </w:t>
      </w:r>
      <w:r>
        <w:rPr>
          <w:lang w:val="en_US" w:bidi="en_US"/>
        </w:rPr>
        <w:t>Tyndale Open Study Notes</w:t>
      </w:r>
      <w:r>
        <w:rPr>
          <w:lang w:val="en_US" w:bidi="en_US"/>
        </w:rPr>
        <w:t xml:space="preserve"> © 2023 Tyndale House Publishers, licensed under the CC BY-SA 4.0 license. The adaptation, </w:t>
      </w:r>
      <w:r>
        <w:rPr>
          <w:lang w:val="en_US" w:bidi="en_US"/>
        </w:rPr>
        <w:t>Aquifer Open Study Notes</w:t>
      </w:r>
      <w:r>
        <w:rPr>
          <w:lang w:val="en_US" w:bidi="en_US"/>
        </w:rPr>
        <w:t>, was created by Mission Mutual and is also licensed under CC BY-SA 4.0.</w:t>
      </w:r>
    </w:p>
    <w:p>
      <w:pPr/>
      <w:r>
        <w:rPr>
          <w:lang w:val="en_US" w:bidi="en_US"/>
        </w:rPr>
      </w:r>
      <w:r>
        <w:rPr>
          <w:lang w:val="en_US" w:bidi="en_US"/>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en_US" w:bidi="en_US"/>
        </w:rPr>
      </w:r>
      <w:r>
        <w:rPr>
          <w:lang w:val="en_US" w:bidi="en_US"/>
        </w:rPr>
      </w:r>
    </w:p>
    <w:p>
      <w:pPr>
        <w:pStyle w:val="Heading1"/>
      </w:pPr>
      <w:r>
        <w:rPr>
          <w:lang w:val="en_US" w:bidi="en_US"/>
        </w:rPr>
        <w:t>Aquifer Open Study Notes (Book Intro Summaries)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JOL</w:t>
      </w: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Joel</w:t>
      </w:r>
      <w:r>
        <w:rPr>
          <w:lang w:val="en_US" w:bidi="en_US"/>
        </w:rPr>
      </w:r>
    </w:p>
    <w:p>
      <w:pPr>
        <w:pStyle w:val="Heading3"/>
      </w:pPr>
      <w:r>
        <w:rPr>
          <w:lang w:val="en_US" w:bidi="en_US"/>
        </w:rPr>
        <w:t>Purpose</w:t>
      </w:r>
    </w:p>
    <w:p>
      <w:pPr>
        <w:pStyle w:val="ListNumber"/>
        <w:numPr>
          <w:ilvl w:val="0"/>
          <w:numId w:val="14"/>
        </w:numPr>
        <w:spacing w:line="240" w:lineRule="auto"/>
        <w:ind w:left="720"/>
      </w:pPr>
      <w:r>
        <w:rPr>
          <w:lang w:val="en_US" w:bidi="en_US"/>
        </w:rPr>
      </w:r>
      <w:r>
        <w:rPr>
          <w:lang w:val="en_US" w:bidi="en_US"/>
        </w:rPr>
        <w:t>To display God’s sovereignty and judgment</w:t>
      </w:r>
    </w:p>
    <w:p>
      <w:pPr>
        <w:pStyle w:val="ListNumber"/>
        <w:spacing w:line="240" w:lineRule="auto"/>
        <w:ind w:left="720"/>
      </w:pPr>
      <w:r>
        <w:rPr>
          <w:lang w:val="en_US" w:bidi="en_US"/>
        </w:rPr>
      </w:r>
      <w:r>
        <w:rPr>
          <w:lang w:val="en_US" w:bidi="en_US"/>
        </w:rPr>
        <w:t>To encourage readers to repent</w:t>
      </w:r>
    </w:p>
    <w:p>
      <w:pPr>
        <w:pStyle w:val="ListNumber"/>
        <w:spacing w:line="240" w:lineRule="auto"/>
        <w:ind w:left="720"/>
      </w:pPr>
      <w:r>
        <w:rPr>
          <w:lang w:val="en_US" w:bidi="en_US"/>
        </w:rPr>
      </w:r>
      <w:r>
        <w:rPr>
          <w:lang w:val="en_US" w:bidi="en_US"/>
        </w:rPr>
        <w:t>To promise restoration</w:t>
      </w:r>
    </w:p>
    <w:p>
      <w:pPr>
        <w:pStyle w:val="Heading3"/>
      </w:pPr>
      <w:r>
        <w:rPr>
          <w:lang w:val="en_US" w:bidi="en_US"/>
        </w:rPr>
        <w:t>Author</w:t>
      </w:r>
    </w:p>
    <w:p>
      <w:pPr/>
      <w:r>
        <w:rPr>
          <w:lang w:val="en_US" w:bidi="en_US"/>
        </w:rPr>
      </w:r>
      <w:r>
        <w:rPr>
          <w:lang w:val="en_US" w:bidi="en_US"/>
        </w:rPr>
        <w:t>Joel</w:t>
      </w:r>
    </w:p>
    <w:p>
      <w:pPr>
        <w:pStyle w:val="Heading3"/>
      </w:pPr>
      <w:r>
        <w:rPr>
          <w:lang w:val="en_US" w:bidi="en_US"/>
        </w:rPr>
        <w:t>Date</w:t>
      </w:r>
    </w:p>
    <w:p>
      <w:pPr/>
      <w:r>
        <w:rPr>
          <w:lang w:val="en_US" w:bidi="en_US"/>
        </w:rPr>
      </w:r>
      <w:r>
        <w:rPr>
          <w:lang w:val="en_US" w:bidi="en_US"/>
        </w:rPr>
        <w:t>Unknown</w:t>
      </w:r>
    </w:p>
    <w:p>
      <w:pPr>
        <w:pStyle w:val="Heading3"/>
      </w:pPr>
      <w:r>
        <w:rPr>
          <w:lang w:val="en_US" w:bidi="en_US"/>
        </w:rPr>
        <w:t>Setting</w:t>
      </w:r>
    </w:p>
    <w:p>
      <w:pPr/>
      <w:r>
        <w:rPr>
          <w:lang w:val="en_US" w:bidi="en_US"/>
        </w:rPr>
      </w:r>
      <w:r>
        <w:rPr>
          <w:lang w:val="en_US" w:bidi="en_US"/>
        </w:rPr>
        <w:t>The land of Judah, during a catastrophic locust plague (interpreted variously as literal or figurative)</w:t>
      </w:r>
      <w:r>
        <w:rPr>
          <w:lang w:val="en_US" w:bidi="en_US"/>
        </w:rPr>
      </w:r>
      <w:r>
        <w:rPr>
          <w:lang w:val="en_US" w:bidi="en_US"/>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 w:numId="14">
    <w:abstractNumId w:val="3"/>
    <w:lvlOverride w:ilvl="0">
      <w:startOverride w:val="1"/>
    </w:lvlOverride>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