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Esther</w:t>
      </w:r>
      <w:r>
        <w:rPr>
          <w:lang w:val="fr_FR" w:bidi="fr_FR"/>
        </w:rPr>
      </w:r>
    </w:p>
    <w:p>
      <w:pPr/>
      <w:r>
        <w:rPr>
          <w:lang w:val="fr_FR" w:bidi="fr_FR"/>
        </w:rPr>
      </w:r>
      <w:r>
        <w:rPr>
          <w:lang w:val="fr_FR" w:bidi="fr_FR"/>
        </w:rPr>
        <w:t>Le livre d’Esther</w:t>
      </w:r>
    </w:p>
    <w:p>
      <w:pPr>
        <w:pStyle w:val="Heading3"/>
      </w:pPr>
      <w:r>
        <w:rPr>
          <w:lang w:val="fr_FR" w:bidi="fr_FR"/>
        </w:rPr>
        <w:t>Objectif</w:t>
      </w:r>
    </w:p>
    <w:p>
      <w:pPr>
        <w:pStyle w:val="ListNumber"/>
        <w:numPr>
          <w:ilvl w:val="0"/>
          <w:numId w:val="14"/>
        </w:numPr>
        <w:spacing w:line="240" w:lineRule="auto"/>
        <w:ind w:left="720"/>
      </w:pPr>
      <w:r>
        <w:rPr>
          <w:lang w:val="fr_FR" w:bidi="fr_FR"/>
        </w:rPr>
      </w:r>
      <w:r>
        <w:rPr>
          <w:lang w:val="fr_FR" w:bidi="fr_FR"/>
        </w:rPr>
        <w:t>Montrer la protection providentielle de Dieu à l'égard de son peuple</w:t>
      </w:r>
    </w:p>
    <w:p>
      <w:pPr>
        <w:pStyle w:val="ListNumber"/>
        <w:spacing w:line="240" w:lineRule="auto"/>
        <w:ind w:left="720"/>
      </w:pPr>
      <w:r>
        <w:rPr>
          <w:lang w:val="fr_FR" w:bidi="fr_FR"/>
        </w:rPr>
      </w:r>
      <w:r>
        <w:rPr>
          <w:lang w:val="fr_FR" w:bidi="fr_FR"/>
        </w:rPr>
        <w:t>Expliquer et retracer les origines de la fête juive appelée Purim (Pourim)</w:t>
      </w:r>
    </w:p>
    <w:p>
      <w:pPr>
        <w:pStyle w:val="Heading3"/>
      </w:pPr>
      <w:r>
        <w:rPr>
          <w:lang w:val="fr_FR" w:bidi="fr_FR"/>
        </w:rPr>
        <w:t>Auteur</w:t>
      </w:r>
    </w:p>
    <w:p>
      <w:pPr/>
      <w:r>
        <w:rPr>
          <w:lang w:val="fr_FR" w:bidi="fr_FR"/>
        </w:rPr>
      </w:r>
      <w:r>
        <w:rPr>
          <w:lang w:val="fr_FR" w:bidi="fr_FR"/>
        </w:rPr>
        <w:t>Inconnu</w:t>
      </w:r>
    </w:p>
    <w:p>
      <w:pPr>
        <w:pStyle w:val="Heading3"/>
      </w:pPr>
      <w:r>
        <w:rPr>
          <w:lang w:val="fr_FR" w:bidi="fr_FR"/>
        </w:rPr>
        <w:t>Date de composition</w:t>
      </w:r>
    </w:p>
    <w:p>
      <w:pPr/>
      <w:r>
        <w:rPr>
          <w:lang w:val="fr_FR" w:bidi="fr_FR"/>
        </w:rPr>
      </w:r>
      <w:r>
        <w:rPr>
          <w:lang w:val="fr_FR" w:bidi="fr_FR"/>
        </w:rPr>
        <w:t>Ce livre rapporte des événements qui sont survenus vers 483–473 av. J.-C. La date de composition n'est pas connue.</w:t>
      </w:r>
    </w:p>
    <w:p>
      <w:pPr>
        <w:pStyle w:val="Heading3"/>
      </w:pPr>
      <w:r>
        <w:rPr>
          <w:lang w:val="fr_FR" w:bidi="fr_FR"/>
        </w:rPr>
        <w:t>Cadre</w:t>
      </w:r>
    </w:p>
    <w:p>
      <w:pPr/>
      <w:r>
        <w:rPr>
          <w:lang w:val="fr_FR" w:bidi="fr_FR"/>
        </w:rPr>
      </w:r>
      <w:r>
        <w:rPr>
          <w:lang w:val="fr_FR" w:bidi="fr_FR"/>
        </w:rPr>
        <w:t>L'histoire se déroule dans la capitale de l'empire perse, Suse, pendant le règne d'Assuérus, alors qu’un certain nombre de Juifs sont retournés en Judée. Le roi Assuérus est parfois appelé Xerxès selon les versions de la Bible.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