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 Summaries)</w:t>
      </w:r>
      <w:r>
        <w:rPr>
          <w:lang w:val="fr_FR" w:bidi="fr_FR"/>
        </w:rPr>
      </w:r>
    </w:p>
    <w:p>
      <w:pPr/>
      <w:r>
        <w:rPr>
          <w:lang w:val="fr_FR" w:bidi="fr_FR"/>
        </w:rPr>
      </w:r>
      <w:r>
        <w:rPr>
          <w:b/>
          <w:lang w:val="fr_FR" w:bidi="fr_FR"/>
        </w:rPr>
        <w:t>Aquifer Open Study Notes (Book Intro Summaries)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JON</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Jonas</w:t>
      </w:r>
      <w:r>
        <w:rPr>
          <w:lang w:val="fr_FR" w:bidi="fr_FR"/>
        </w:rPr>
      </w:r>
    </w:p>
    <w:p>
      <w:pPr/>
      <w:r>
        <w:rPr>
          <w:lang w:val="fr_FR" w:bidi="fr_FR"/>
        </w:rPr>
      </w:r>
      <w:r>
        <w:rPr>
          <w:lang w:val="fr_FR" w:bidi="fr_FR"/>
        </w:rPr>
        <w:t>Le livre de Jonas</w:t>
      </w:r>
    </w:p>
    <w:p>
      <w:pPr>
        <w:pStyle w:val="Heading3"/>
      </w:pPr>
      <w:r>
        <w:rPr>
          <w:lang w:val="fr_FR" w:bidi="fr_FR"/>
        </w:rPr>
        <w:t>Objectif</w:t>
      </w:r>
    </w:p>
    <w:p>
      <w:pPr/>
      <w:r>
        <w:rPr>
          <w:lang w:val="fr_FR" w:bidi="fr_FR"/>
        </w:rPr>
      </w:r>
      <w:r>
        <w:rPr>
          <w:lang w:val="fr_FR" w:bidi="fr_FR"/>
        </w:rPr>
        <w:t>Récit illustrant la vaste étendue de la souveraineté et du salut de Dieu.</w:t>
      </w:r>
    </w:p>
    <w:p>
      <w:pPr>
        <w:pStyle w:val="Heading3"/>
      </w:pPr>
      <w:r>
        <w:rPr>
          <w:lang w:val="fr_FR" w:bidi="fr_FR"/>
        </w:rPr>
        <w:t>Auteur</w:t>
      </w:r>
    </w:p>
    <w:p>
      <w:pPr/>
      <w:r>
        <w:rPr>
          <w:lang w:val="fr_FR" w:bidi="fr_FR"/>
        </w:rPr>
      </w:r>
      <w:r>
        <w:rPr>
          <w:lang w:val="fr_FR" w:bidi="fr_FR"/>
        </w:rPr>
        <w:t>Nous ne savons pas qui a écrit le livre de Jonas.</w:t>
      </w:r>
    </w:p>
    <w:p>
      <w:pPr>
        <w:pStyle w:val="Heading3"/>
      </w:pPr>
      <w:r>
        <w:rPr>
          <w:lang w:val="fr_FR" w:bidi="fr_FR"/>
        </w:rPr>
        <w:t>Date</w:t>
      </w:r>
    </w:p>
    <w:p>
      <w:pPr/>
      <w:r>
        <w:rPr>
          <w:lang w:val="fr_FR" w:bidi="fr_FR"/>
        </w:rPr>
      </w:r>
      <w:r>
        <w:rPr>
          <w:lang w:val="fr_FR" w:bidi="fr_FR"/>
        </w:rPr>
        <w:t>Ce livre a été écrit vers 755 av. J.-C.</w:t>
      </w:r>
    </w:p>
    <w:p>
      <w:pPr>
        <w:pStyle w:val="Heading3"/>
      </w:pPr>
      <w:r>
        <w:rPr>
          <w:lang w:val="fr_FR" w:bidi="fr_FR"/>
        </w:rPr>
        <w:t>Cadre</w:t>
      </w:r>
    </w:p>
    <w:p>
      <w:pPr/>
      <w:r>
        <w:rPr>
          <w:lang w:val="fr_FR" w:bidi="fr_FR"/>
        </w:rPr>
      </w:r>
      <w:r>
        <w:rPr>
          <w:lang w:val="fr_FR" w:bidi="fr_FR"/>
        </w:rPr>
        <w:t>Ce livre a été écrit à une époque où l’influence assyrienne en Israël avait temporairement diminué, comme c'était le cas pendant le règne de Jéroboam II.</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