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de Paul aux Colossiens</w:t>
      </w:r>
    </w:p>
    <w:p>
      <w:pPr>
        <w:pStyle w:val="Heading3"/>
      </w:pPr>
      <w:r>
        <w:rPr>
          <w:lang w:val="fr_FR" w:bidi="fr_FR"/>
        </w:rPr>
        <w:t>Dessein</w:t>
      </w:r>
    </w:p>
    <w:p>
      <w:pPr/>
      <w:r>
        <w:rPr>
          <w:lang w:val="fr_FR" w:bidi="fr_FR"/>
        </w:rPr>
      </w:r>
      <w:r>
        <w:rPr>
          <w:lang w:val="fr_FR" w:bidi="fr_FR"/>
        </w:rPr>
        <w:t>Lutter contre les faux enseignements à Colosses, en mettant l’emphase sur la suprématie de Christ et en insistant sur le fait que la véritable croissance spirituelle et vie morale émanent de lui</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après qu’il ait entendu parler, probablement à travers Epaphras, des faux enseignements survenus dans l’église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