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शमूएल</w:t>
      </w:r>
      <w:r>
        <w:rPr>
          <w:lang w:val="hi_IN" w:bidi="hi_IN"/>
        </w:rPr>
      </w:r>
    </w:p>
    <w:p>
      <w:pPr/>
      <w:r>
        <w:rPr>
          <w:lang w:val="hi_IN" w:bidi="hi_IN"/>
        </w:rPr>
      </w:r>
      <w:r>
        <w:rPr>
          <w:lang w:val="hi_IN" w:bidi="hi_IN"/>
        </w:rPr>
        <w:t>शमूएल की दूसरी पुस्तक</w:t>
      </w:r>
    </w:p>
    <w:p>
      <w:pPr>
        <w:pStyle w:val="Heading3"/>
      </w:pPr>
      <w:r>
        <w:rPr>
          <w:lang w:val="hi_IN" w:bidi="hi_IN"/>
        </w:rPr>
        <w:t>उद्देश्य</w:t>
      </w:r>
    </w:p>
    <w:p>
      <w:pPr/>
      <w:r>
        <w:rPr>
          <w:lang w:val="hi_IN" w:bidi="hi_IN"/>
        </w:rPr>
      </w:r>
      <w:r>
        <w:rPr>
          <w:lang w:val="hi_IN" w:bidi="hi_IN"/>
        </w:rPr>
        <w:t>दाऊद के शासन काल का वर्णन करना और दाऊद के वंश के प्रति परमेश्वर की प्रतिबद्धता को प्रदर्शित करना</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1011–971 ई. पू. के आसपास घटी घटनाओं को दर्ज करता है</w:t>
      </w:r>
    </w:p>
    <w:p>
      <w:pPr>
        <w:pStyle w:val="Heading3"/>
      </w:pPr>
      <w:r>
        <w:rPr>
          <w:lang w:val="hi_IN" w:bidi="hi_IN"/>
        </w:rPr>
        <w:t>घटनास्थल</w:t>
      </w:r>
    </w:p>
    <w:p>
      <w:pPr/>
      <w:r>
        <w:rPr>
          <w:lang w:val="hi_IN" w:bidi="hi_IN"/>
        </w:rPr>
      </w:r>
      <w:r>
        <w:rPr>
          <w:lang w:val="hi_IN" w:bidi="hi_IN"/>
        </w:rPr>
        <w:t>शाऊल की मृत्यु के बाद, दाऊद ने सम्पूर्ण इस्राएल पर अपना सिंहासन स्थापित करने और इस्राएली राज्य के विस्तार का प्रयास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