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Study Notes (Book Intro Summaries)</w:t>
      </w:r>
      <w:r>
        <w:rPr>
          <w:lang w:val="hi_IN" w:bidi="hi_IN"/>
        </w:rPr>
      </w:r>
    </w:p>
    <w:p>
      <w:pPr/>
      <w:r>
        <w:rPr>
          <w:lang w:val="hi_IN" w:bidi="hi_IN"/>
        </w:rPr>
      </w:r>
      <w:r>
        <w:rPr>
          <w:b/>
          <w:lang w:val="hi_IN" w:bidi="hi_IN"/>
        </w:rPr>
        <w:t>Aquifer Open Study Notes (Book Intro Summaries)</w:t>
      </w:r>
    </w:p>
    <w:p>
      <w:pPr/>
      <w:r>
        <w:rPr>
          <w:lang w:val="hi_IN" w:bidi="hi_IN"/>
        </w:rPr>
      </w:r>
      <w:r>
        <w:rPr>
          <w:lang w:val="hi_IN" w:bidi="hi_IN"/>
        </w:rPr>
        <w:t xml:space="preserve">This work is an adaptation of </w:t>
      </w:r>
      <w:r>
        <w:rPr>
          <w:lang w:val="hi_IN" w:bidi="hi_IN"/>
        </w:rPr>
        <w:t>Tyndale Open Study Notes</w:t>
      </w:r>
      <w:r>
        <w:rPr>
          <w:lang w:val="hi_IN" w:bidi="hi_IN"/>
        </w:rPr>
        <w:t xml:space="preserve"> © 2023 Tyndale House Publishers, licensed under the CC BY-SA 4.0 license. The adaptation, </w:t>
      </w:r>
      <w:r>
        <w:rPr>
          <w:lang w:val="hi_IN" w:bidi="hi_IN"/>
        </w:rPr>
        <w:t>Aquifer Open Study Notes</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2PE</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2 पतरस</w:t>
      </w:r>
      <w:r>
        <w:rPr>
          <w:lang w:val="hi_IN" w:bidi="hi_IN"/>
        </w:rPr>
      </w:r>
    </w:p>
    <w:p>
      <w:pPr/>
      <w:r>
        <w:rPr>
          <w:lang w:val="hi_IN" w:bidi="hi_IN"/>
        </w:rPr>
      </w:r>
      <w:r>
        <w:rPr>
          <w:lang w:val="hi_IN" w:bidi="hi_IN"/>
        </w:rPr>
        <w:t>पतरस की दूसरी पत्री</w:t>
      </w:r>
    </w:p>
    <w:p>
      <w:pPr>
        <w:pStyle w:val="Heading3"/>
      </w:pPr>
      <w:r>
        <w:rPr>
          <w:lang w:val="hi_IN" w:bidi="hi_IN"/>
        </w:rPr>
        <w:t>उद्देश्य</w:t>
      </w:r>
    </w:p>
    <w:p>
      <w:pPr/>
      <w:r>
        <w:rPr>
          <w:lang w:val="hi_IN" w:bidi="hi_IN"/>
        </w:rPr>
      </w:r>
      <w:r>
        <w:rPr>
          <w:lang w:val="hi_IN" w:bidi="hi_IN"/>
        </w:rPr>
        <w:t>झूठे शिक्षकों की निंदा करना और विश्वास में निरंतर बढ़ते रहने के लिए प्रोत्साहित करना</w:t>
      </w:r>
    </w:p>
    <w:p>
      <w:pPr>
        <w:pStyle w:val="Heading3"/>
      </w:pPr>
      <w:r>
        <w:rPr>
          <w:lang w:val="hi_IN" w:bidi="hi_IN"/>
        </w:rPr>
        <w:t>लेखक</w:t>
      </w:r>
    </w:p>
    <w:p>
      <w:pPr/>
      <w:r>
        <w:rPr>
          <w:lang w:val="hi_IN" w:bidi="hi_IN"/>
        </w:rPr>
      </w:r>
      <w:r>
        <w:rPr>
          <w:lang w:val="hi_IN" w:bidi="hi_IN"/>
        </w:rPr>
        <w:t>पतरस</w:t>
      </w:r>
    </w:p>
    <w:p>
      <w:pPr>
        <w:pStyle w:val="Heading3"/>
      </w:pPr>
      <w:r>
        <w:rPr>
          <w:lang w:val="hi_IN" w:bidi="hi_IN"/>
        </w:rPr>
        <w:t>तिथि</w:t>
      </w:r>
    </w:p>
    <w:p>
      <w:pPr/>
      <w:r>
        <w:rPr>
          <w:lang w:val="hi_IN" w:bidi="hi_IN"/>
        </w:rPr>
      </w:r>
      <w:r>
        <w:rPr>
          <w:lang w:val="hi_IN" w:bidi="hi_IN"/>
        </w:rPr>
        <w:t>60 के दशक ई. सन्. के आरंभ में</w:t>
      </w:r>
    </w:p>
    <w:p>
      <w:pPr>
        <w:pStyle w:val="Heading3"/>
      </w:pPr>
      <w:r>
        <w:rPr>
          <w:lang w:val="hi_IN" w:bidi="hi_IN"/>
        </w:rPr>
        <w:t>घटनास्थल</w:t>
      </w:r>
    </w:p>
    <w:p>
      <w:pPr/>
      <w:r>
        <w:rPr>
          <w:lang w:val="hi_IN" w:bidi="hi_IN"/>
        </w:rPr>
      </w:r>
      <w:r>
        <w:rPr>
          <w:lang w:val="hi_IN" w:bidi="hi_IN"/>
        </w:rPr>
        <w:t>1 पतरस में संबोधित किए गए उन्ही विश्वासी समूहों को लिखी गई, जिनके समुदायों में झूठे शिक्षकों द्वारा घुसपैठ की जा रही थी</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