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 Summaries)</w:t>
      </w:r>
      <w:r>
        <w:rPr>
          <w:lang w:val="id_ID" w:bidi="id_ID"/>
        </w:rPr>
      </w:r>
    </w:p>
    <w:p>
      <w:pPr/>
      <w:r>
        <w:rPr>
          <w:lang w:val="id_ID" w:bidi="id_ID"/>
        </w:rPr>
      </w:r>
      <w:r>
        <w:rPr>
          <w:b/>
          <w:lang w:val="id_ID" w:bidi="id_ID"/>
        </w:rPr>
        <w:t>Aquifer Open Study Notes (Book Intro Summaries)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ZEP</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Zefanya</w:t>
      </w:r>
      <w:r>
        <w:rPr>
          <w:lang w:val="id_ID" w:bidi="id_ID"/>
        </w:rPr>
      </w:r>
    </w:p>
    <w:p>
      <w:pPr/>
      <w:r>
        <w:rPr>
          <w:lang w:val="id_ID" w:bidi="id_ID"/>
        </w:rPr>
      </w:r>
      <w:r>
        <w:rPr>
          <w:lang w:val="id_ID" w:bidi="id_ID"/>
        </w:rPr>
        <w:t>Kitab Zefanya</w:t>
      </w:r>
    </w:p>
    <w:p>
      <w:pPr>
        <w:pStyle w:val="Heading3"/>
      </w:pPr>
      <w:r>
        <w:rPr>
          <w:lang w:val="id_ID" w:bidi="id_ID"/>
        </w:rPr>
        <w:t>Tujuan</w:t>
      </w:r>
    </w:p>
    <w:p>
      <w:pPr/>
      <w:r>
        <w:rPr>
          <w:lang w:val="id_ID" w:bidi="id_ID"/>
        </w:rPr>
      </w:r>
      <w:r>
        <w:rPr>
          <w:lang w:val="id_ID" w:bidi="id_ID"/>
        </w:rPr>
        <w:t>Memperingatkan datangnya “Hari Tuhan“ dan menuntut pertobatan segera</w:t>
      </w:r>
    </w:p>
    <w:p>
      <w:pPr>
        <w:pStyle w:val="Heading3"/>
      </w:pPr>
      <w:r>
        <w:rPr>
          <w:lang w:val="id_ID" w:bidi="id_ID"/>
        </w:rPr>
        <w:t>Penulis</w:t>
      </w:r>
    </w:p>
    <w:p>
      <w:pPr/>
      <w:r>
        <w:rPr>
          <w:lang w:val="id_ID" w:bidi="id_ID"/>
        </w:rPr>
      </w:r>
      <w:r>
        <w:rPr>
          <w:lang w:val="id_ID" w:bidi="id_ID"/>
        </w:rPr>
        <w:t>Zefanya</w:t>
      </w:r>
    </w:p>
    <w:p>
      <w:pPr>
        <w:pStyle w:val="Heading3"/>
      </w:pPr>
      <w:r>
        <w:rPr>
          <w:lang w:val="id_ID" w:bidi="id_ID"/>
        </w:rPr>
        <w:t>Tahun penulisan</w:t>
      </w:r>
    </w:p>
    <w:p>
      <w:pPr/>
      <w:r>
        <w:rPr>
          <w:lang w:val="id_ID" w:bidi="id_ID"/>
        </w:rPr>
      </w:r>
      <w:r>
        <w:rPr>
          <w:lang w:val="id_ID" w:bidi="id_ID"/>
        </w:rPr>
        <w:t>Kemungkinan antara tahun 635 dan 622 SM</w:t>
      </w:r>
    </w:p>
    <w:p>
      <w:pPr>
        <w:pStyle w:val="Heading3"/>
      </w:pPr>
      <w:r>
        <w:rPr>
          <w:lang w:val="id_ID" w:bidi="id_ID"/>
        </w:rPr>
        <w:t>Latar Belakang</w:t>
      </w:r>
    </w:p>
    <w:p>
      <w:pPr/>
      <w:r>
        <w:rPr>
          <w:lang w:val="id_ID" w:bidi="id_ID"/>
        </w:rPr>
      </w:r>
      <w:r>
        <w:rPr>
          <w:lang w:val="id_ID" w:bidi="id_ID"/>
        </w:rPr>
        <w:t>Menjelang permulaan pemerintahan Raja Yosia di Yehuda, sebelum reformasi keagamaan yang diadakannya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