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MAL</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Maleakhi</w:t>
      </w:r>
      <w:r>
        <w:rPr>
          <w:lang w:val="id_ID" w:bidi="id_ID"/>
        </w:rPr>
      </w:r>
    </w:p>
    <w:p>
      <w:pPr/>
      <w:r>
        <w:rPr>
          <w:lang w:val="id_ID" w:bidi="id_ID"/>
        </w:rPr>
      </w:r>
      <w:r>
        <w:rPr>
          <w:lang w:val="id_ID" w:bidi="id_ID"/>
        </w:rPr>
        <w:t>Kitab Maleakhi</w:t>
      </w:r>
    </w:p>
    <w:p>
      <w:pPr>
        <w:pStyle w:val="Heading3"/>
      </w:pPr>
      <w:r>
        <w:rPr>
          <w:lang w:val="id_ID" w:bidi="id_ID"/>
        </w:rPr>
        <w:t>Tujuan</w:t>
      </w:r>
    </w:p>
    <w:p>
      <w:pPr/>
      <w:r>
        <w:rPr>
          <w:lang w:val="id_ID" w:bidi="id_ID"/>
        </w:rPr>
      </w:r>
      <w:r>
        <w:rPr>
          <w:lang w:val="id_ID" w:bidi="id_ID"/>
        </w:rPr>
        <w:t>Mengarahkan kembali umat Allah kepada sikap yang tepat dalam relasi dan ibadah</w:t>
      </w:r>
    </w:p>
    <w:p>
      <w:pPr>
        <w:pStyle w:val="Heading3"/>
      </w:pPr>
      <w:r>
        <w:rPr>
          <w:lang w:val="id_ID" w:bidi="id_ID"/>
        </w:rPr>
        <w:t>Penulis</w:t>
      </w:r>
    </w:p>
    <w:p>
      <w:pPr/>
      <w:r>
        <w:rPr>
          <w:lang w:val="id_ID" w:bidi="id_ID"/>
        </w:rPr>
      </w:r>
      <w:r>
        <w:rPr>
          <w:lang w:val="id_ID" w:bidi="id_ID"/>
        </w:rPr>
        <w:t>Maleakhi</w:t>
      </w:r>
    </w:p>
    <w:p>
      <w:pPr>
        <w:pStyle w:val="Heading3"/>
      </w:pPr>
      <w:r>
        <w:rPr>
          <w:lang w:val="id_ID" w:bidi="id_ID"/>
        </w:rPr>
        <w:t>Tahun penulisan</w:t>
      </w:r>
    </w:p>
    <w:p>
      <w:pPr/>
      <w:r>
        <w:rPr>
          <w:lang w:val="id_ID" w:bidi="id_ID"/>
        </w:rPr>
      </w:r>
      <w:r>
        <w:rPr>
          <w:lang w:val="id_ID" w:bidi="id_ID"/>
        </w:rPr>
        <w:t>Kemungkinan pada tahun 400-an SM</w:t>
      </w:r>
    </w:p>
    <w:p>
      <w:pPr>
        <w:pStyle w:val="Heading3"/>
      </w:pPr>
      <w:r>
        <w:rPr>
          <w:lang w:val="id_ID" w:bidi="id_ID"/>
        </w:rPr>
        <w:t>Latar Belakang</w:t>
      </w:r>
    </w:p>
    <w:p>
      <w:pPr/>
      <w:r>
        <w:rPr>
          <w:lang w:val="id_ID" w:bidi="id_ID"/>
        </w:rPr>
      </w:r>
      <w:r>
        <w:rPr>
          <w:lang w:val="id_ID" w:bidi="id_ID"/>
        </w:rPr>
        <w:t>Wilayah Yudea pasca-pembuangan, setelah Bait Suci dibangun kembali</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