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Yohanes</w:t>
      </w:r>
      <w:r>
        <w:rPr>
          <w:lang w:val="id_ID" w:bidi="id_ID"/>
        </w:rPr>
      </w:r>
    </w:p>
    <w:p>
      <w:pPr/>
      <w:r>
        <w:rPr>
          <w:lang w:val="id_ID" w:bidi="id_ID"/>
        </w:rPr>
      </w:r>
      <w:r>
        <w:rPr>
          <w:lang w:val="id_ID" w:bidi="id_ID"/>
        </w:rPr>
        <w:t>Surat Yohanes yang Kedua</w:t>
      </w:r>
    </w:p>
    <w:p>
      <w:pPr>
        <w:pStyle w:val="Heading3"/>
      </w:pPr>
      <w:r>
        <w:rPr>
          <w:lang w:val="id_ID" w:bidi="id_ID"/>
        </w:rPr>
        <w:t>Tujuan</w:t>
      </w:r>
    </w:p>
    <w:p>
      <w:pPr/>
      <w:r>
        <w:rPr>
          <w:lang w:val="id_ID" w:bidi="id_ID"/>
        </w:rPr>
      </w:r>
      <w:r>
        <w:rPr>
          <w:lang w:val="id_ID" w:bidi="id_ID"/>
        </w:rPr>
        <w:t>Menjabarkan respons yang tepat terhadap guru-guru palsu dan mendorong orang-orang percaya untuk saling mengasihi</w:t>
      </w:r>
    </w:p>
    <w:p>
      <w:pPr>
        <w:pStyle w:val="Heading3"/>
      </w:pPr>
      <w:r>
        <w:rPr>
          <w:lang w:val="id_ID" w:bidi="id_ID"/>
        </w:rPr>
        <w:t>Penulis</w:t>
      </w:r>
    </w:p>
    <w:p>
      <w:pPr/>
      <w:r>
        <w:rPr>
          <w:lang w:val="id_ID" w:bidi="id_ID"/>
        </w:rPr>
      </w:r>
      <w:r>
        <w:rPr>
          <w:lang w:val="id_ID" w:bidi="id_ID"/>
        </w:rPr>
        <w:t>Kemungkinan Rasul Yohanes</w:t>
      </w:r>
    </w:p>
    <w:p>
      <w:pPr>
        <w:pStyle w:val="Heading3"/>
      </w:pPr>
      <w:r>
        <w:rPr>
          <w:lang w:val="id_ID" w:bidi="id_ID"/>
        </w:rPr>
        <w:t>Tahun penulisan</w:t>
      </w:r>
    </w:p>
    <w:p>
      <w:pPr/>
      <w:r>
        <w:rPr>
          <w:lang w:val="id_ID" w:bidi="id_ID"/>
        </w:rPr>
      </w:r>
      <w:r>
        <w:rPr>
          <w:lang w:val="id_ID" w:bidi="id_ID"/>
        </w:rPr>
        <w:t>Sekitar Tahun 85–90 M</w:t>
      </w:r>
    </w:p>
    <w:p>
      <w:pPr>
        <w:pStyle w:val="Heading3"/>
      </w:pPr>
      <w:r>
        <w:rPr>
          <w:lang w:val="id_ID" w:bidi="id_ID"/>
        </w:rPr>
        <w:t>Latar Belakang</w:t>
      </w:r>
    </w:p>
    <w:p>
      <w:pPr/>
      <w:r>
        <w:rPr>
          <w:lang w:val="id_ID" w:bidi="id_ID"/>
        </w:rPr>
      </w:r>
      <w:r>
        <w:rPr>
          <w:lang w:val="id_ID" w:bidi="id_ID"/>
        </w:rPr>
        <w:t>Ditulis kepada sebuah komunitas orang percaya—kemungkinan di Asia Kecil—yang telah menghadapi guru-guru palsu atau kemungkinan akan segera menghadapinya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