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Isaiah</w:t>
      </w:r>
      <w:r>
        <w:rPr>
          <w:lang w:val="pt_PT" w:bidi="pt_PT"/>
        </w:rPr>
      </w:r>
    </w:p>
    <w:p>
      <w:pPr/>
      <w:r>
        <w:rPr>
          <w:lang w:val="pt_PT" w:bidi="pt_PT"/>
        </w:rPr>
      </w:r>
      <w:r>
        <w:rPr>
          <w:lang w:val="pt_PT" w:bidi="pt_PT"/>
        </w:rPr>
        <w:t>O livro de Isaías</w:t>
      </w:r>
    </w:p>
    <w:p>
      <w:pPr>
        <w:pStyle w:val="Heading3"/>
      </w:pPr>
      <w:r>
        <w:rPr>
          <w:lang w:val="pt_PT" w:bidi="pt_PT"/>
        </w:rPr>
        <w:t>Propósito</w:t>
      </w:r>
    </w:p>
    <w:p>
      <w:pPr/>
      <w:r>
        <w:rPr>
          <w:lang w:val="pt_PT" w:bidi="pt_PT"/>
        </w:rPr>
      </w:r>
      <w:r>
        <w:rPr>
          <w:lang w:val="pt_PT" w:bidi="pt_PT"/>
        </w:rPr>
        <w:t>Advertir Judá do julgamento iminente e oferecer esperança sobre um remanescente do povo de Deus</w:t>
      </w:r>
    </w:p>
    <w:p>
      <w:pPr>
        <w:pStyle w:val="Heading3"/>
      </w:pPr>
      <w:r>
        <w:rPr>
          <w:lang w:val="pt_PT" w:bidi="pt_PT"/>
        </w:rPr>
        <w:t>Autor</w:t>
      </w:r>
    </w:p>
    <w:p>
      <w:pPr/>
      <w:r>
        <w:rPr>
          <w:lang w:val="pt_PT" w:bidi="pt_PT"/>
        </w:rPr>
      </w:r>
      <w:r>
        <w:rPr>
          <w:lang w:val="pt_PT" w:bidi="pt_PT"/>
        </w:rPr>
        <w:t>Isaías</w:t>
      </w:r>
    </w:p>
    <w:p>
      <w:pPr>
        <w:pStyle w:val="Heading3"/>
      </w:pPr>
      <w:r>
        <w:rPr>
          <w:lang w:val="pt_PT" w:bidi="pt_PT"/>
        </w:rPr>
        <w:t>Data</w:t>
      </w:r>
    </w:p>
    <w:p>
      <w:pPr/>
      <w:r>
        <w:rPr>
          <w:lang w:val="pt_PT" w:bidi="pt_PT"/>
        </w:rPr>
      </w:r>
      <w:r>
        <w:rPr>
          <w:lang w:val="pt_PT" w:bidi="pt_PT"/>
        </w:rPr>
        <w:t>Por volta de 740–685 a.C.</w:t>
      </w:r>
    </w:p>
    <w:p>
      <w:pPr>
        <w:pStyle w:val="Heading3"/>
      </w:pPr>
      <w:r>
        <w:rPr>
          <w:lang w:val="pt_PT" w:bidi="pt_PT"/>
        </w:rPr>
        <w:t>Cenário</w:t>
      </w:r>
    </w:p>
    <w:p>
      <w:pPr/>
      <w:r>
        <w:rPr>
          <w:lang w:val="pt_PT" w:bidi="pt_PT"/>
        </w:rPr>
      </w:r>
      <w:r>
        <w:rPr>
          <w:lang w:val="pt_PT" w:bidi="pt_PT"/>
        </w:rPr>
        <w:t>O reino do sul de Judá, em torno da época da conquista de Assíria do reino do norte de Israel</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