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 Summaries)</w:t>
      </w:r>
      <w:r>
        <w:rPr>
          <w:lang w:val="ru_RU" w:bidi="ru_RU"/>
        </w:rPr>
      </w:r>
    </w:p>
    <w:p>
      <w:pPr/>
      <w:r>
        <w:rPr>
          <w:lang w:val="ru_RU" w:bidi="ru_RU"/>
        </w:rPr>
      </w:r>
      <w:r>
        <w:rPr>
          <w:b/>
          <w:lang w:val="ru_RU" w:bidi="ru_RU"/>
        </w:rPr>
        <w:t>Aquifer Open Study Notes (Book Intro Summaries)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RUT</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Руфь</w:t>
      </w:r>
      <w:r>
        <w:rPr>
          <w:lang w:val="ru_RU" w:bidi="ru_RU"/>
        </w:rPr>
      </w:r>
    </w:p>
    <w:p>
      <w:pPr/>
      <w:r>
        <w:rPr>
          <w:lang w:val="ru_RU" w:bidi="ru_RU"/>
        </w:rPr>
      </w:r>
      <w:r>
        <w:rPr>
          <w:lang w:val="ru_RU" w:bidi="ru_RU"/>
        </w:rPr>
        <w:t>Книга Руфь</w:t>
      </w:r>
    </w:p>
    <w:p>
      <w:pPr>
        <w:pStyle w:val="Heading3"/>
      </w:pPr>
      <w:r>
        <w:rPr>
          <w:lang w:val="ru_RU" w:bidi="ru_RU"/>
        </w:rPr>
        <w:t>Цель</w:t>
      </w:r>
    </w:p>
    <w:p>
      <w:pPr/>
      <w:r>
        <w:rPr>
          <w:lang w:val="ru_RU" w:bidi="ru_RU"/>
        </w:rPr>
      </w:r>
      <w:r>
        <w:rPr>
          <w:lang w:val="ru_RU" w:bidi="ru_RU"/>
        </w:rPr>
        <w:t>Рассказать вдохновляющую историю Руфи и проследить историю царя Давида.</w:t>
      </w:r>
    </w:p>
    <w:p>
      <w:pPr>
        <w:pStyle w:val="Heading3"/>
      </w:pPr>
      <w:r>
        <w:rPr>
          <w:lang w:val="ru_RU" w:bidi="ru_RU"/>
        </w:rPr>
        <w:t>Автор</w:t>
      </w:r>
    </w:p>
    <w:p>
      <w:pPr/>
      <w:r>
        <w:rPr>
          <w:lang w:val="ru_RU" w:bidi="ru_RU"/>
        </w:rPr>
      </w:r>
      <w:r>
        <w:rPr>
          <w:lang w:val="ru_RU" w:bidi="ru_RU"/>
        </w:rPr>
        <w:t>Неизвестен</w:t>
      </w:r>
    </w:p>
    <w:p>
      <w:pPr>
        <w:pStyle w:val="Heading3"/>
      </w:pPr>
      <w:r>
        <w:rPr>
          <w:lang w:val="ru_RU" w:bidi="ru_RU"/>
        </w:rPr>
        <w:t>Дата</w:t>
      </w:r>
    </w:p>
    <w:p>
      <w:pPr/>
      <w:r>
        <w:rPr>
          <w:lang w:val="ru_RU" w:bidi="ru_RU"/>
        </w:rPr>
      </w:r>
      <w:r>
        <w:rPr>
          <w:lang w:val="ru_RU" w:bidi="ru_RU"/>
        </w:rPr>
        <w:t>Описанные события произошли приблизительно в 1100 году до Р.Х.</w:t>
      </w:r>
    </w:p>
    <w:p>
      <w:pPr>
        <w:pStyle w:val="Heading3"/>
      </w:pPr>
      <w:r>
        <w:rPr>
          <w:lang w:val="ru_RU" w:bidi="ru_RU"/>
        </w:rPr>
        <w:t>Контекст</w:t>
      </w:r>
    </w:p>
    <w:p>
      <w:pPr/>
      <w:r>
        <w:rPr>
          <w:lang w:val="ru_RU" w:bidi="ru_RU"/>
        </w:rPr>
      </w:r>
      <w:r>
        <w:rPr>
          <w:lang w:val="ru_RU" w:bidi="ru_RU"/>
        </w:rPr>
        <w:t>Период правления судей, во время поразившего Вифлеем голода и непосредственно после него.</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