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 Summaries)</w:t>
      </w:r>
      <w:r>
        <w:rPr>
          <w:lang w:val="ru_RU" w:bidi="ru_RU"/>
        </w:rPr>
      </w:r>
    </w:p>
    <w:p>
      <w:pPr/>
      <w:r>
        <w:rPr>
          <w:lang w:val="ru_RU" w:bidi="ru_RU"/>
        </w:rPr>
      </w:r>
      <w:r>
        <w:rPr>
          <w:b/>
          <w:lang w:val="ru_RU" w:bidi="ru_RU"/>
        </w:rPr>
        <w:t>Aquifer Open Study Notes (Book Intro Summaries)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NEH</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Неемии</w:t>
      </w:r>
      <w:r>
        <w:rPr>
          <w:lang w:val="ru_RU" w:bidi="ru_RU"/>
        </w:rPr>
      </w:r>
    </w:p>
    <w:p>
      <w:pPr/>
      <w:r>
        <w:rPr>
          <w:lang w:val="ru_RU" w:bidi="ru_RU"/>
        </w:rPr>
      </w:r>
      <w:r>
        <w:rPr>
          <w:lang w:val="ru_RU" w:bidi="ru_RU"/>
        </w:rPr>
        <w:t>Книга Неемии</w:t>
      </w:r>
    </w:p>
    <w:p>
      <w:pPr>
        <w:pStyle w:val="Heading3"/>
      </w:pPr>
      <w:r>
        <w:rPr>
          <w:lang w:val="ru_RU" w:bidi="ru_RU"/>
        </w:rPr>
        <w:t>Цель</w:t>
      </w:r>
    </w:p>
    <w:p>
      <w:pPr/>
      <w:r>
        <w:rPr>
          <w:lang w:val="ru_RU" w:bidi="ru_RU"/>
        </w:rPr>
      </w:r>
      <w:r>
        <w:rPr>
          <w:lang w:val="ru_RU" w:bidi="ru_RU"/>
        </w:rPr>
        <w:t>Рассказать о восстановлении стен Иерусалима и показать верность Бога тем, кто посвятил себя Ему.</w:t>
      </w:r>
    </w:p>
    <w:p>
      <w:pPr>
        <w:pStyle w:val="Heading3"/>
      </w:pPr>
      <w:r>
        <w:rPr>
          <w:lang w:val="ru_RU" w:bidi="ru_RU"/>
        </w:rPr>
        <w:t>Автор</w:t>
      </w:r>
    </w:p>
    <w:p>
      <w:pPr/>
      <w:r>
        <w:rPr>
          <w:lang w:val="ru_RU" w:bidi="ru_RU"/>
        </w:rPr>
      </w:r>
      <w:r>
        <w:rPr>
          <w:lang w:val="ru_RU" w:bidi="ru_RU"/>
        </w:rPr>
        <w:t>Ездра, согласно преданию</w:t>
      </w:r>
    </w:p>
    <w:p>
      <w:pPr>
        <w:pStyle w:val="Heading3"/>
      </w:pPr>
      <w:r>
        <w:rPr>
          <w:lang w:val="ru_RU" w:bidi="ru_RU"/>
        </w:rPr>
        <w:t>Дата</w:t>
      </w:r>
    </w:p>
    <w:p>
      <w:pPr/>
      <w:r>
        <w:rPr>
          <w:lang w:val="ru_RU" w:bidi="ru_RU"/>
        </w:rPr>
      </w:r>
      <w:r>
        <w:rPr>
          <w:lang w:val="ru_RU" w:bidi="ru_RU"/>
        </w:rPr>
        <w:t>Описанные события произошли приблизительно в 445–430 гг. до Р.Х.</w:t>
      </w:r>
    </w:p>
    <w:p>
      <w:pPr>
        <w:pStyle w:val="Heading3"/>
      </w:pPr>
      <w:r>
        <w:rPr>
          <w:lang w:val="ru_RU" w:bidi="ru_RU"/>
        </w:rPr>
        <w:t>Контекст</w:t>
      </w:r>
    </w:p>
    <w:p>
      <w:pPr/>
      <w:r>
        <w:rPr>
          <w:lang w:val="ru_RU" w:bidi="ru_RU"/>
        </w:rPr>
      </w:r>
      <w:r>
        <w:rPr>
          <w:lang w:val="ru_RU" w:bidi="ru_RU"/>
        </w:rPr>
        <w:t>Иерусалим приблизительно через пятнадцать лет после прибытия Ездры.</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