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DAN</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Даниила</w:t>
      </w:r>
      <w:r>
        <w:rPr>
          <w:lang w:val="ru_RU" w:bidi="ru_RU"/>
        </w:rPr>
      </w:r>
    </w:p>
    <w:p>
      <w:pPr/>
      <w:r>
        <w:rPr>
          <w:lang w:val="ru_RU" w:bidi="ru_RU"/>
        </w:rPr>
      </w:r>
      <w:r>
        <w:rPr>
          <w:lang w:val="ru_RU" w:bidi="ru_RU"/>
        </w:rPr>
        <w:t>Книга пророка Даниила</w:t>
      </w:r>
    </w:p>
    <w:p>
      <w:pPr>
        <w:pStyle w:val="Heading3"/>
      </w:pPr>
      <w:r>
        <w:rPr>
          <w:lang w:val="ru_RU" w:bidi="ru_RU"/>
        </w:rPr>
        <w:t>Цель</w:t>
      </w:r>
    </w:p>
    <w:p>
      <w:pPr/>
      <w:r>
        <w:rPr>
          <w:lang w:val="ru_RU" w:bidi="ru_RU"/>
        </w:rPr>
      </w:r>
      <w:r>
        <w:rPr>
          <w:lang w:val="ru_RU" w:bidi="ru_RU"/>
        </w:rPr>
        <w:t>Показать Божье всевластие над всем, включая силы, апатичные или враждебные по отношению к Нему.</w:t>
      </w:r>
    </w:p>
    <w:p>
      <w:pPr>
        <w:pStyle w:val="Heading3"/>
      </w:pPr>
      <w:r>
        <w:rPr>
          <w:lang w:val="ru_RU" w:bidi="ru_RU"/>
        </w:rPr>
        <w:t>Автор</w:t>
      </w:r>
    </w:p>
    <w:p>
      <w:pPr/>
      <w:r>
        <w:rPr>
          <w:lang w:val="ru_RU" w:bidi="ru_RU"/>
        </w:rPr>
      </w:r>
      <w:r>
        <w:rPr>
          <w:lang w:val="ru_RU" w:bidi="ru_RU"/>
        </w:rPr>
        <w:t>Вероятно, Даниил</w:t>
      </w:r>
    </w:p>
    <w:p>
      <w:pPr>
        <w:pStyle w:val="Heading3"/>
      </w:pPr>
      <w:r>
        <w:rPr>
          <w:lang w:val="ru_RU" w:bidi="ru_RU"/>
        </w:rPr>
        <w:t>Дата</w:t>
      </w:r>
    </w:p>
    <w:p>
      <w:pPr/>
      <w:r>
        <w:rPr>
          <w:lang w:val="ru_RU" w:bidi="ru_RU"/>
        </w:rPr>
      </w:r>
      <w:r>
        <w:rPr>
          <w:lang w:val="ru_RU" w:bidi="ru_RU"/>
        </w:rPr>
        <w:t>Приблизительно 605–535 гг. до Р.Х.</w:t>
      </w:r>
    </w:p>
    <w:p>
      <w:pPr>
        <w:pStyle w:val="Heading3"/>
      </w:pPr>
      <w:r>
        <w:rPr>
          <w:lang w:val="ru_RU" w:bidi="ru_RU"/>
        </w:rPr>
        <w:t>Контекст</w:t>
      </w:r>
    </w:p>
    <w:p>
      <w:pPr/>
      <w:r>
        <w:rPr>
          <w:lang w:val="ru_RU" w:bidi="ru_RU"/>
        </w:rPr>
      </w:r>
      <w:r>
        <w:rPr>
          <w:lang w:val="ru_RU" w:bidi="ru_RU"/>
        </w:rPr>
        <w:t>Вавилон, начиная с первой волны изгнанников из Иудеи и заканчивая примерно временем указа Кира, позволившего евреям вернуться домой.</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