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HAB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Аввакума</w:t>
      </w:r>
      <w:r>
        <w:rPr>
          <w:lang w:val="ru_RU" w:bidi="ru_RU"/>
        </w:rPr>
      </w:r>
    </w:p>
    <w:p>
      <w:pPr/>
      <w:r>
        <w:rPr>
          <w:lang w:val="ru_RU" w:bidi="ru_RU"/>
        </w:rPr>
      </w:r>
      <w:r>
        <w:rPr>
          <w:lang w:val="ru_RU" w:bidi="ru_RU"/>
        </w:rPr>
        <w:t>Книга пророка Аввакума</w:t>
      </w:r>
    </w:p>
    <w:p>
      <w:pPr>
        <w:pStyle w:val="Heading3"/>
      </w:pPr>
      <w:r>
        <w:rPr>
          <w:lang w:val="ru_RU" w:bidi="ru_RU"/>
        </w:rPr>
        <w:t>Цель</w:t>
      </w:r>
    </w:p>
    <w:p>
      <w:pPr/>
      <w:r>
        <w:rPr>
          <w:lang w:val="ru_RU" w:bidi="ru_RU"/>
        </w:rPr>
      </w:r>
      <w:r>
        <w:rPr>
          <w:lang w:val="ru_RU" w:bidi="ru_RU"/>
        </w:rPr>
        <w:t>Затронуть трудные вопросы относительно Божьих целей и присутствия зла в мире.</w:t>
      </w:r>
    </w:p>
    <w:p>
      <w:pPr>
        <w:pStyle w:val="Heading3"/>
      </w:pPr>
      <w:r>
        <w:rPr>
          <w:lang w:val="ru_RU" w:bidi="ru_RU"/>
        </w:rPr>
        <w:t>Автор</w:t>
      </w:r>
    </w:p>
    <w:p>
      <w:pPr/>
      <w:r>
        <w:rPr>
          <w:lang w:val="ru_RU" w:bidi="ru_RU"/>
        </w:rPr>
      </w:r>
      <w:r>
        <w:rPr>
          <w:lang w:val="ru_RU" w:bidi="ru_RU"/>
        </w:rPr>
        <w:t>Аввакум</w:t>
      </w:r>
    </w:p>
    <w:p>
      <w:pPr>
        <w:pStyle w:val="Heading3"/>
      </w:pPr>
      <w:r>
        <w:rPr>
          <w:lang w:val="ru_RU" w:bidi="ru_RU"/>
        </w:rPr>
        <w:t>Дата</w:t>
      </w:r>
    </w:p>
    <w:p>
      <w:pPr/>
      <w:r>
        <w:rPr>
          <w:lang w:val="ru_RU" w:bidi="ru_RU"/>
        </w:rPr>
      </w:r>
      <w:r>
        <w:rPr>
          <w:lang w:val="ru_RU" w:bidi="ru_RU"/>
        </w:rPr>
        <w:t>Вероятно, между 645 и 605 гг. до Р.Х.</w:t>
      </w:r>
    </w:p>
    <w:p>
      <w:pPr>
        <w:pStyle w:val="Heading3"/>
      </w:pPr>
      <w:r>
        <w:rPr>
          <w:lang w:val="ru_RU" w:bidi="ru_RU"/>
        </w:rPr>
        <w:t>Контекст</w:t>
      </w:r>
    </w:p>
    <w:p>
      <w:pPr/>
      <w:r>
        <w:rPr>
          <w:lang w:val="ru_RU" w:bidi="ru_RU"/>
        </w:rPr>
      </w:r>
      <w:r>
        <w:rPr>
          <w:lang w:val="ru_RU" w:bidi="ru_RU"/>
        </w:rPr>
        <w:t>Последние годы независимого Иудейского царства, когда власть Ассирии ослабевала, а власть Вавилона, наоборот, усиливалась.</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