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ZEP</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Софонии</w:t>
      </w:r>
      <w:r>
        <w:rPr>
          <w:lang w:val="ru_RU" w:bidi="ru_RU"/>
        </w:rPr>
      </w:r>
    </w:p>
    <w:p>
      <w:pPr/>
      <w:r>
        <w:rPr>
          <w:lang w:val="ru_RU" w:bidi="ru_RU"/>
        </w:rPr>
      </w:r>
      <w:r>
        <w:rPr>
          <w:lang w:val="ru_RU" w:bidi="ru_RU"/>
        </w:rPr>
        <w:t>Книга пророка Софонии</w:t>
      </w:r>
    </w:p>
    <w:p>
      <w:pPr>
        <w:pStyle w:val="Heading3"/>
      </w:pPr>
      <w:r>
        <w:rPr>
          <w:lang w:val="ru_RU" w:bidi="ru_RU"/>
        </w:rPr>
        <w:t>Цель</w:t>
      </w:r>
    </w:p>
    <w:p>
      <w:pPr/>
      <w:r>
        <w:rPr>
          <w:lang w:val="ru_RU" w:bidi="ru_RU"/>
        </w:rPr>
      </w:r>
      <w:r>
        <w:rPr>
          <w:lang w:val="ru_RU" w:bidi="ru_RU"/>
        </w:rPr>
        <w:t>Предупредить о наступлении «дня Господнего»и побудить к покаянию.</w:t>
      </w:r>
    </w:p>
    <w:p>
      <w:pPr>
        <w:pStyle w:val="Heading3"/>
      </w:pPr>
      <w:r>
        <w:rPr>
          <w:lang w:val="ru_RU" w:bidi="ru_RU"/>
        </w:rPr>
        <w:t>Автор</w:t>
      </w:r>
    </w:p>
    <w:p>
      <w:pPr/>
      <w:r>
        <w:rPr>
          <w:lang w:val="ru_RU" w:bidi="ru_RU"/>
        </w:rPr>
      </w:r>
      <w:r>
        <w:rPr>
          <w:lang w:val="ru_RU" w:bidi="ru_RU"/>
        </w:rPr>
        <w:t>Софония</w:t>
      </w:r>
    </w:p>
    <w:p>
      <w:pPr>
        <w:pStyle w:val="Heading3"/>
      </w:pPr>
      <w:r>
        <w:rPr>
          <w:lang w:val="ru_RU" w:bidi="ru_RU"/>
        </w:rPr>
        <w:t>Дата</w:t>
      </w:r>
    </w:p>
    <w:p>
      <w:pPr/>
      <w:r>
        <w:rPr>
          <w:lang w:val="ru_RU" w:bidi="ru_RU"/>
        </w:rPr>
      </w:r>
      <w:r>
        <w:rPr>
          <w:lang w:val="ru_RU" w:bidi="ru_RU"/>
        </w:rPr>
        <w:t>Вероятно, между 635 и 622 гг. до Р.Х.</w:t>
      </w:r>
    </w:p>
    <w:p>
      <w:pPr>
        <w:pStyle w:val="Heading3"/>
      </w:pPr>
      <w:r>
        <w:rPr>
          <w:lang w:val="ru_RU" w:bidi="ru_RU"/>
        </w:rPr>
        <w:t>Контекст</w:t>
      </w:r>
    </w:p>
    <w:p>
      <w:pPr/>
      <w:r>
        <w:rPr>
          <w:lang w:val="ru_RU" w:bidi="ru_RU"/>
        </w:rPr>
      </w:r>
      <w:r>
        <w:rPr>
          <w:lang w:val="ru_RU" w:bidi="ru_RU"/>
        </w:rPr>
        <w:t>Начало правления царя Иосии в Иудее, до его религиозных реформ.</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