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 Summaries)</w:t>
      </w:r>
      <w:r>
        <w:rPr>
          <w:lang w:val="es_ES" w:bidi="es_ES"/>
        </w:rPr>
      </w:r>
    </w:p>
    <w:p>
      <w:pPr/>
      <w:r>
        <w:rPr>
          <w:lang w:val="es_ES" w:bidi="es_ES"/>
        </w:rPr>
      </w:r>
      <w:r>
        <w:rPr>
          <w:b/>
          <w:lang w:val="es_ES" w:bidi="es_ES"/>
        </w:rPr>
        <w:t>Aquifer Open Study Notes (Book Intro Summaries)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1CH</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 Crónicas</w:t>
      </w:r>
      <w:r>
        <w:rPr>
          <w:lang w:val="es_ES" w:bidi="es_ES"/>
        </w:rPr>
      </w:r>
    </w:p>
    <w:p>
      <w:pPr/>
      <w:r>
        <w:rPr>
          <w:lang w:val="es_ES" w:bidi="es_ES"/>
        </w:rPr>
      </w:r>
      <w:r>
        <w:rPr>
          <w:lang w:val="es_ES" w:bidi="es_ES"/>
        </w:rPr>
        <w:t>El Primer Libro de Crónicas</w:t>
      </w:r>
    </w:p>
    <w:p>
      <w:pPr>
        <w:pStyle w:val="Heading3"/>
      </w:pPr>
      <w:r>
        <w:rPr>
          <w:lang w:val="es_ES" w:bidi="es_ES"/>
        </w:rPr>
        <w:t>Propósito</w:t>
      </w:r>
    </w:p>
    <w:p>
      <w:pPr/>
      <w:r>
        <w:rPr>
          <w:lang w:val="es_ES" w:bidi="es_ES"/>
        </w:rPr>
      </w:r>
      <w:r>
        <w:rPr>
          <w:lang w:val="es_ES" w:bidi="es_ES"/>
        </w:rPr>
        <w:t xml:space="preserve">Infundir esperanza, especialmente apelando a la promesa hecha al Rey David, entre los judíos que habían regresado a su tierra después de vivir en el exilio. Sin embargo, todavía vivían en opresión </w:t>
      </w:r>
    </w:p>
    <w:p>
      <w:pPr>
        <w:pStyle w:val="Heading3"/>
      </w:pPr>
      <w:r>
        <w:rPr>
          <w:lang w:val="es_ES" w:bidi="es_ES"/>
        </w:rPr>
        <w:t>Autor</w:t>
      </w:r>
    </w:p>
    <w:p>
      <w:pPr/>
      <w:r>
        <w:rPr>
          <w:lang w:val="es_ES" w:bidi="es_ES"/>
        </w:rPr>
      </w:r>
      <w:r>
        <w:rPr>
          <w:lang w:val="es_ES" w:bidi="es_ES"/>
        </w:rPr>
        <w:t>Desconocido</w:t>
      </w:r>
    </w:p>
    <w:p>
      <w:pPr>
        <w:pStyle w:val="Heading3"/>
      </w:pPr>
      <w:r>
        <w:rPr>
          <w:lang w:val="es_ES" w:bidi="es_ES"/>
        </w:rPr>
        <w:t>Fecha</w:t>
      </w:r>
    </w:p>
    <w:p>
      <w:pPr/>
      <w:r>
        <w:rPr>
          <w:lang w:val="es_ES" w:bidi="es_ES"/>
        </w:rPr>
      </w:r>
      <w:r>
        <w:rPr>
          <w:lang w:val="es_ES" w:bidi="es_ES"/>
        </w:rPr>
        <w:t>Probablemente escrito alrededor del 400 a.C., registrando principalmente eventos que ocurrieron alrededor del 1011–971 a.C.</w:t>
      </w:r>
    </w:p>
    <w:p>
      <w:pPr>
        <w:pStyle w:val="Heading3"/>
      </w:pPr>
      <w:r>
        <w:rPr>
          <w:lang w:val="es_ES" w:bidi="es_ES"/>
        </w:rPr>
        <w:t>Contexto</w:t>
      </w:r>
    </w:p>
    <w:p>
      <w:pPr/>
      <w:r>
        <w:rPr>
          <w:lang w:val="es_ES" w:bidi="es_ES"/>
        </w:rPr>
      </w:r>
      <w:r>
        <w:rPr>
          <w:lang w:val="es_ES" w:bidi="es_ES"/>
        </w:rPr>
        <w:t>Judea había sido repoblada por judíos después del exilio babilónico, pero estos judíos aún vivían bajo el dominio extranjero (persa). El relato esencialmente se remonta al reinado de David</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