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Joel</w:t>
      </w:r>
      <w:r>
        <w:rPr>
          <w:lang w:val="es_ES" w:bidi="es_ES"/>
        </w:rPr>
      </w:r>
    </w:p>
    <w:p>
      <w:pPr/>
      <w:r>
        <w:rPr>
          <w:lang w:val="es_ES" w:bidi="es_ES"/>
        </w:rPr>
      </w:r>
      <w:r>
        <w:rPr>
          <w:lang w:val="es_ES" w:bidi="es_ES"/>
        </w:rPr>
        <w:t>El Libro de Joel</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Mostrar la soberanía y el juicio de Dios</w:t>
      </w:r>
    </w:p>
    <w:p>
      <w:pPr>
        <w:pStyle w:val="ListNumber"/>
        <w:spacing w:line="240" w:lineRule="auto"/>
        <w:ind w:left="720"/>
      </w:pPr>
      <w:r>
        <w:rPr>
          <w:lang w:val="es_ES" w:bidi="es_ES"/>
        </w:rPr>
      </w:r>
      <w:r>
        <w:rPr>
          <w:lang w:val="es_ES" w:bidi="es_ES"/>
        </w:rPr>
        <w:t>Animar a los lectores a arrepentirse</w:t>
      </w:r>
    </w:p>
    <w:p>
      <w:pPr>
        <w:pStyle w:val="ListNumber"/>
        <w:spacing w:line="240" w:lineRule="auto"/>
        <w:ind w:left="720"/>
      </w:pPr>
      <w:r>
        <w:rPr>
          <w:lang w:val="es_ES" w:bidi="es_ES"/>
        </w:rPr>
      </w:r>
      <w:r>
        <w:rPr>
          <w:lang w:val="es_ES" w:bidi="es_ES"/>
        </w:rPr>
        <w:t>Prometer restauración</w:t>
      </w:r>
    </w:p>
    <w:p>
      <w:pPr>
        <w:pStyle w:val="Heading3"/>
      </w:pPr>
      <w:r>
        <w:rPr>
          <w:lang w:val="es_ES" w:bidi="es_ES"/>
        </w:rPr>
        <w:t>Autor</w:t>
      </w:r>
    </w:p>
    <w:p>
      <w:pPr/>
      <w:r>
        <w:rPr>
          <w:lang w:val="es_ES" w:bidi="es_ES"/>
        </w:rPr>
      </w:r>
      <w:r>
        <w:rPr>
          <w:lang w:val="es_ES" w:bidi="es_ES"/>
        </w:rPr>
        <w:t>Joel</w:t>
      </w:r>
    </w:p>
    <w:p>
      <w:pPr>
        <w:pStyle w:val="Heading3"/>
      </w:pPr>
      <w:r>
        <w:rPr>
          <w:lang w:val="es_ES" w:bidi="es_ES"/>
        </w:rPr>
        <w:t>Fecha</w:t>
      </w:r>
    </w:p>
    <w:p>
      <w:pPr/>
      <w:r>
        <w:rPr>
          <w:lang w:val="es_ES" w:bidi="es_ES"/>
        </w:rPr>
      </w:r>
      <w:r>
        <w:rPr>
          <w:lang w:val="es_ES" w:bidi="es_ES"/>
        </w:rPr>
        <w:t>Desconocido</w:t>
      </w:r>
    </w:p>
    <w:p>
      <w:pPr>
        <w:pStyle w:val="Heading3"/>
      </w:pPr>
      <w:r>
        <w:rPr>
          <w:lang w:val="es_ES" w:bidi="es_ES"/>
        </w:rPr>
        <w:t>Contexto</w:t>
      </w:r>
    </w:p>
    <w:p>
      <w:pPr/>
      <w:r>
        <w:rPr>
          <w:lang w:val="es_ES" w:bidi="es_ES"/>
        </w:rPr>
      </w:r>
      <w:r>
        <w:rPr>
          <w:lang w:val="es_ES" w:bidi="es_ES"/>
        </w:rPr>
        <w:t>La tierra de Judá, durante una plaga catastrófica de langostas (interpretada de diversas maneras como literal o figurativa)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