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Mambo ya Nyakati</w:t>
      </w:r>
      <w:r>
        <w:rPr>
          <w:lang w:val="sw_KE" w:bidi="sw_KE"/>
        </w:rPr>
      </w:r>
    </w:p>
    <w:p>
      <w:pPr/>
      <w:r>
        <w:rPr>
          <w:lang w:val="sw_KE" w:bidi="sw_KE"/>
        </w:rPr>
      </w:r>
      <w:r>
        <w:rPr>
          <w:lang w:val="sw_KE" w:bidi="sw_KE"/>
        </w:rPr>
        <w:t>Kitabu cha Kwanza cha Mambo ya Nyakati</w:t>
      </w:r>
    </w:p>
    <w:p>
      <w:pPr>
        <w:pStyle w:val="Heading3"/>
      </w:pPr>
      <w:r>
        <w:rPr>
          <w:lang w:val="sw_KE" w:bidi="sw_KE"/>
        </w:rPr>
        <w:t>Kusudi</w:t>
      </w:r>
    </w:p>
    <w:p>
      <w:pPr/>
      <w:r>
        <w:rPr>
          <w:lang w:val="sw_KE" w:bidi="sw_KE"/>
        </w:rPr>
      </w:r>
      <w:r>
        <w:rPr>
          <w:lang w:val="sw_KE" w:bidi="sw_KE"/>
        </w:rPr>
        <w:t>Kuleta tumaini—hasa kwa msingi wa ahadi ya Daudi—miongoni mwa Wayahudi waliokuwa wamerudi katika nchi yao lakini walikuwa wakiishi katika hali ya kutawaliwa.</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Kuna uwezekano kiliandikwa takriban mnamo 400 KK, sehemu kubwa ikiwa inarekodi matukio ambayo yalitokea takriban mnamo 1011–971 KK</w:t>
      </w:r>
    </w:p>
    <w:p>
      <w:pPr>
        <w:pStyle w:val="Heading3"/>
      </w:pPr>
      <w:r>
        <w:rPr>
          <w:lang w:val="sw_KE" w:bidi="sw_KE"/>
        </w:rPr>
        <w:t>Muktadha</w:t>
      </w:r>
    </w:p>
    <w:p>
      <w:pPr/>
      <w:r>
        <w:rPr>
          <w:lang w:val="sw_KE" w:bidi="sw_KE"/>
        </w:rPr>
      </w:r>
      <w:r>
        <w:rPr>
          <w:lang w:val="sw_KE" w:bidi="sw_KE"/>
        </w:rPr>
        <w:t>Uyahudi ulikuwa umekaliwa na Wayahudi baada ya Uhamisho, lakini Wayahudi hao walikuwa bado wanaishi chini ya utawala wa kigeni (Waajemi); simulizi hiyo kimsingi inafuatilia utawala wa Daudi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