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2CH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Mambo ya Nyakati</w:t>
      </w:r>
      <w:r>
        <w:rPr>
          <w:lang w:val="sw_KE" w:bidi="sw_KE"/>
        </w:rPr>
      </w:r>
    </w:p>
    <w:p>
      <w:pPr/>
      <w:r>
        <w:rPr>
          <w:lang w:val="sw_KE" w:bidi="sw_KE"/>
        </w:rPr>
      </w:r>
      <w:r>
        <w:rPr>
          <w:lang w:val="sw_KE" w:bidi="sw_KE"/>
        </w:rPr>
        <w:t>Kitabu cha Pili cha Mambo ya Nyakati</w:t>
      </w:r>
    </w:p>
    <w:p>
      <w:pPr>
        <w:pStyle w:val="Heading3"/>
      </w:pPr>
      <w:r>
        <w:rPr>
          <w:lang w:val="sw_KE" w:bidi="sw_KE"/>
        </w:rPr>
        <w:t>Kusudi</w:t>
      </w:r>
    </w:p>
    <w:p>
      <w:pPr/>
      <w:r>
        <w:rPr>
          <w:lang w:val="sw_KE" w:bidi="sw_KE"/>
        </w:rPr>
      </w:r>
      <w:r>
        <w:rPr>
          <w:lang w:val="sw_KE" w:bidi="sw_KE"/>
        </w:rPr>
        <w:t>Kuwapa wasomaji tumaini kwa ajili ya ufalme wa Israeli uliorejeshwa wenye ibada sahihi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Kuna uwezekano kiliandikwa takriban mnamo 400 KK, kikirekodi matukio ambayo yalitokea takriban mnamo 971–538 KK</w:t>
      </w:r>
    </w:p>
    <w:p>
      <w:pPr>
        <w:pStyle w:val="Heading3"/>
      </w:pPr>
      <w:r>
        <w:rPr>
          <w:lang w:val="sw_KE" w:bidi="sw_KE"/>
        </w:rPr>
        <w:t>Muktadha</w:t>
      </w:r>
    </w:p>
    <w:p>
      <w:pPr/>
      <w:r>
        <w:rPr>
          <w:lang w:val="sw_KE" w:bidi="sw_KE"/>
        </w:rPr>
      </w:r>
      <w:r>
        <w:rPr>
          <w:lang w:val="sw_KE" w:bidi="sw_KE"/>
        </w:rPr>
        <w:t>Eneo la Uyahudi baada ya Uhamisho wakati wa utawala wa Kiajemi; simulizi inaanza na utawala wa Sulemani na inaishia na tangazo la Mfalme Koreshi la kuwaruhusu Waisraeli warudi Uyahudi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