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詩篇</w:t>
      </w:r>
      <w:r>
        <w:rPr>
          <w:lang w:val="zh_TW" w:bidi="zh_TW"/>
        </w:rPr>
      </w:r>
    </w:p>
    <w:p>
      <w:pPr/>
      <w:r>
        <w:rPr>
          <w:lang w:val="zh_TW" w:bidi="zh_TW"/>
        </w:rPr>
      </w:r>
      <w:r>
        <w:rPr>
          <w:lang w:val="zh_TW" w:bidi="zh_TW"/>
        </w:rPr>
        <w:t>詩篇</w:t>
      </w:r>
    </w:p>
    <w:p>
      <w:pPr>
        <w:pStyle w:val="Heading3"/>
      </w:pPr>
      <w:r>
        <w:rPr>
          <w:lang w:val="zh_TW" w:bidi="zh_TW"/>
        </w:rPr>
        <w:t>寫作目的</w:t>
      </w:r>
    </w:p>
    <w:p>
      <w:pPr/>
      <w:r>
        <w:rPr>
          <w:lang w:val="zh_TW" w:bidi="zh_TW"/>
        </w:rPr>
      </w:r>
      <w:r>
        <w:rPr>
          <w:lang w:val="zh_TW" w:bidi="zh_TW"/>
        </w:rPr>
        <w:t>向神獻上讚美和禱告、為神的子民提供敬拜的文本，並對神的主權和人生中一些最艱難的問題進行反思</w:t>
      </w:r>
    </w:p>
    <w:p>
      <w:pPr>
        <w:pStyle w:val="Heading3"/>
      </w:pPr>
      <w:r>
        <w:rPr>
          <w:lang w:val="zh_TW" w:bidi="zh_TW"/>
        </w:rPr>
        <w:t>作者</w:t>
      </w:r>
    </w:p>
    <w:p>
      <w:pPr/>
      <w:r>
        <w:rPr>
          <w:lang w:val="zh_TW" w:bidi="zh_TW"/>
        </w:rPr>
      </w:r>
      <w:r>
        <w:rPr>
          <w:lang w:val="zh_TW" w:bidi="zh_TW"/>
        </w:rPr>
        <w:t>多位作者；近一半的內容是大衞所著</w:t>
      </w:r>
    </w:p>
    <w:p>
      <w:pPr>
        <w:pStyle w:val="Heading3"/>
      </w:pPr>
      <w:r>
        <w:rPr>
          <w:lang w:val="zh_TW" w:bidi="zh_TW"/>
        </w:rPr>
        <w:t>日期</w:t>
      </w:r>
    </w:p>
    <w:p>
      <w:pPr/>
      <w:r>
        <w:rPr>
          <w:lang w:val="zh_TW" w:bidi="zh_TW"/>
        </w:rPr>
      </w:r>
      <w:r>
        <w:rPr>
          <w:lang w:val="zh_TW" w:bidi="zh_TW"/>
        </w:rPr>
        <w:t>歷時數個世紀寫成；收集和編輯的過程可能在巴比倫流亡之後完成</w:t>
      </w:r>
    </w:p>
    <w:p>
      <w:pPr>
        <w:pStyle w:val="Heading3"/>
      </w:pPr>
      <w:r>
        <w:rPr>
          <w:lang w:val="zh_TW" w:bidi="zh_TW"/>
        </w:rPr>
        <w:t>背景</w:t>
      </w:r>
    </w:p>
    <w:p>
      <w:pPr/>
      <w:r>
        <w:rPr>
          <w:lang w:val="zh_TW" w:bidi="zh_TW"/>
        </w:rPr>
      </w:r>
      <w:r>
        <w:rPr>
          <w:lang w:val="zh_TW" w:bidi="zh_TW"/>
        </w:rPr>
        <w:t>各不相同，但被擄後的背景釋了許多詩篇的編輯和分類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