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 (Book Intro Summaries)</w:t>
      </w:r>
      <w:r>
        <w:rPr>
          <w:rtl/>
          <w:cs/>
          <w:lang w:val="ar_AE" w:bidi="ar_AE"/>
        </w:rPr>
      </w:r>
    </w:p>
    <w:p>
      <w:pPr>
        <w:bidi/>
      </w:pPr>
      <w:r>
        <w:rPr>
          <w:rtl/>
          <w:cs/>
          <w:lang w:val="ar_AE" w:bidi="ar_AE"/>
        </w:rPr>
      </w:r>
      <w:r>
        <w:rPr>
          <w:b/>
          <w:rtl/>
          <w:cs/>
          <w:lang w:val="ar_AE" w:bidi="ar_AE"/>
        </w:rPr>
        <w:t>Aquifer Open Study Notes (Book Intro Summaries)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JOS</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سفر يشوع</w:t>
      </w:r>
      <w:r>
        <w:rPr>
          <w:rtl/>
          <w:cs/>
          <w:lang w:val="ar_AE" w:bidi="ar_AE"/>
        </w:rPr>
      </w:r>
    </w:p>
    <w:p>
      <w:pPr>
        <w:bidi/>
      </w:pPr>
      <w:r>
        <w:rPr>
          <w:rtl/>
          <w:cs/>
          <w:lang w:val="ar_AE" w:bidi="ar_AE"/>
        </w:rPr>
      </w:r>
      <w:r>
        <w:rPr>
          <w:rtl/>
          <w:cs/>
          <w:lang w:val="ar_AE" w:bidi="ar_AE"/>
        </w:rPr>
        <w:t>سِفر يشوع</w:t>
      </w:r>
    </w:p>
    <w:p>
      <w:pPr>
        <w:pStyle w:val="Heading3"/>
        <w:bidi/>
      </w:pPr>
      <w:r>
        <w:rPr>
          <w:rtl/>
          <w:cs/>
          <w:lang w:val="ar_AE" w:bidi="ar_AE"/>
        </w:rPr>
        <w:t>الهدف</w:t>
      </w:r>
    </w:p>
    <w:p>
      <w:pPr>
        <w:bidi/>
      </w:pPr>
      <w:r>
        <w:rPr>
          <w:rtl/>
          <w:cs/>
          <w:lang w:val="ar_AE" w:bidi="ar_AE"/>
        </w:rPr>
      </w:r>
      <w:r>
        <w:rPr>
          <w:rtl/>
          <w:cs/>
          <w:lang w:val="ar_AE" w:bidi="ar_AE"/>
        </w:rPr>
        <w:t>تسجيل دخول إسرائيل أرض الميعاد</w:t>
      </w:r>
    </w:p>
    <w:p>
      <w:pPr>
        <w:pStyle w:val="Heading3"/>
        <w:bidi/>
      </w:pPr>
      <w:r>
        <w:rPr>
          <w:rtl/>
          <w:cs/>
          <w:lang w:val="ar_AE" w:bidi="ar_AE"/>
        </w:rPr>
        <w:t>الكاتب</w:t>
      </w:r>
    </w:p>
    <w:p>
      <w:pPr>
        <w:bidi/>
      </w:pPr>
      <w:r>
        <w:rPr>
          <w:rtl/>
          <w:cs/>
          <w:lang w:val="ar_AE" w:bidi="ar_AE"/>
        </w:rPr>
      </w:r>
      <w:r>
        <w:rPr>
          <w:rtl/>
          <w:cs/>
          <w:lang w:val="ar_AE" w:bidi="ar_AE"/>
        </w:rPr>
        <w:t>مجهول</w:t>
      </w:r>
    </w:p>
    <w:p>
      <w:pPr>
        <w:pStyle w:val="Heading3"/>
        <w:bidi/>
      </w:pPr>
      <w:r>
        <w:rPr>
          <w:rtl/>
          <w:cs/>
          <w:lang w:val="ar_AE" w:bidi="ar_AE"/>
        </w:rPr>
        <w:t>الزمن</w:t>
      </w:r>
    </w:p>
    <w:p>
      <w:pPr>
        <w:bidi/>
      </w:pPr>
      <w:r>
        <w:rPr>
          <w:rtl/>
          <w:cs/>
          <w:lang w:val="ar_AE" w:bidi="ar_AE"/>
        </w:rPr>
      </w:r>
      <w:r>
        <w:rPr>
          <w:rtl/>
          <w:cs/>
          <w:lang w:val="ar_AE" w:bidi="ar_AE"/>
        </w:rPr>
        <w:t>يسجِّل الأحداث التي حدثت على الأرجح في الفترة من 1406 إلى 1376 قبل الميلاد أو 1230–1200 قبل الميلاد</w:t>
      </w:r>
    </w:p>
    <w:p>
      <w:pPr>
        <w:pStyle w:val="Heading3"/>
        <w:bidi/>
      </w:pPr>
      <w:r>
        <w:rPr>
          <w:rtl/>
          <w:cs/>
          <w:lang w:val="ar_AE" w:bidi="ar_AE"/>
        </w:rPr>
        <w:t>السياق</w:t>
      </w:r>
    </w:p>
    <w:p>
      <w:pPr>
        <w:bidi/>
      </w:pPr>
      <w:r>
        <w:rPr>
          <w:rtl/>
          <w:cs/>
          <w:lang w:val="ar_AE" w:bidi="ar_AE"/>
        </w:rPr>
      </w:r>
      <w:r>
        <w:rPr>
          <w:rtl/>
          <w:cs/>
          <w:lang w:val="ar_AE" w:bidi="ar_AE"/>
        </w:rPr>
        <w:t>يبدأ ببني إسرائيل على وشك عبور نهر الأردن وينتهي بتوزيع أرضهم الجديدة</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