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صموئيل الأول</w:t>
      </w:r>
      <w:r>
        <w:rPr>
          <w:rtl/>
          <w:cs/>
          <w:lang w:val="ar_AE" w:bidi="ar_AE"/>
        </w:rPr>
      </w:r>
    </w:p>
    <w:p>
      <w:pPr>
        <w:bidi/>
      </w:pPr>
      <w:r>
        <w:rPr>
          <w:rtl/>
          <w:cs/>
          <w:lang w:val="ar_AE" w:bidi="ar_AE"/>
        </w:rPr>
      </w:r>
      <w:r>
        <w:rPr>
          <w:rtl/>
          <w:cs/>
          <w:lang w:val="ar_AE" w:bidi="ar_AE"/>
        </w:rPr>
        <w:t>سِفر صموئيل الأول</w:t>
      </w:r>
    </w:p>
    <w:p>
      <w:pPr>
        <w:pStyle w:val="Heading3"/>
        <w:bidi/>
      </w:pPr>
      <w:r>
        <w:rPr>
          <w:rtl/>
          <w:cs/>
          <w:lang w:val="ar_AE" w:bidi="ar_AE"/>
        </w:rPr>
        <w:t>الهدف</w:t>
      </w:r>
    </w:p>
    <w:p>
      <w:pPr>
        <w:bidi/>
      </w:pPr>
      <w:r>
        <w:rPr>
          <w:rtl/>
          <w:cs/>
          <w:lang w:val="ar_AE" w:bidi="ar_AE"/>
        </w:rPr>
      </w:r>
      <w:r>
        <w:rPr>
          <w:rtl/>
          <w:cs/>
          <w:lang w:val="ar_AE" w:bidi="ar_AE"/>
        </w:rPr>
        <w:t>تسجيل تأسيس مملكة إسرائيل وتسليط الضوء على الطابع المختلف لملوك إسرائيل الأوائل</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1050–1011 قبل الميلاد</w:t>
      </w:r>
    </w:p>
    <w:p>
      <w:pPr>
        <w:pStyle w:val="Heading3"/>
        <w:bidi/>
      </w:pPr>
      <w:r>
        <w:rPr>
          <w:rtl/>
          <w:cs/>
          <w:lang w:val="ar_AE" w:bidi="ar_AE"/>
        </w:rPr>
        <w:t>السياق</w:t>
      </w:r>
    </w:p>
    <w:p>
      <w:pPr>
        <w:bidi/>
      </w:pPr>
      <w:r>
        <w:rPr>
          <w:rtl/>
          <w:cs/>
          <w:lang w:val="ar_AE" w:bidi="ar_AE"/>
        </w:rPr>
      </w:r>
      <w:r>
        <w:rPr>
          <w:rtl/>
          <w:cs/>
          <w:lang w:val="ar_AE" w:bidi="ar_AE"/>
        </w:rPr>
        <w:t>الانتقال من فترة القضاة إلى عصر ملوك إسرائيل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