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 Summaries)</w:t>
      </w:r>
      <w:r>
        <w:rPr>
          <w:rtl/>
          <w:cs/>
          <w:lang w:val="ar_AE" w:bidi="ar_AE"/>
        </w:rPr>
      </w:r>
    </w:p>
    <w:p>
      <w:pPr>
        <w:bidi/>
      </w:pPr>
      <w:r>
        <w:rPr>
          <w:rtl/>
          <w:cs/>
          <w:lang w:val="ar_AE" w:bidi="ar_AE"/>
        </w:rPr>
      </w:r>
      <w:r>
        <w:rPr>
          <w:b/>
          <w:rtl/>
          <w:cs/>
          <w:lang w:val="ar_AE" w:bidi="ar_AE"/>
        </w:rPr>
        <w:t>Aquifer Open Study Notes (Book Intro Summaries)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2KI</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سفر الملوك الثاني</w:t>
      </w:r>
      <w:r>
        <w:rPr>
          <w:rtl/>
          <w:cs/>
          <w:lang w:val="ar_AE" w:bidi="ar_AE"/>
        </w:rPr>
      </w:r>
    </w:p>
    <w:p>
      <w:pPr>
        <w:bidi/>
      </w:pPr>
      <w:r>
        <w:rPr>
          <w:rtl/>
          <w:cs/>
          <w:lang w:val="ar_AE" w:bidi="ar_AE"/>
        </w:rPr>
      </w:r>
      <w:r>
        <w:rPr>
          <w:rtl/>
          <w:cs/>
          <w:lang w:val="ar_AE" w:bidi="ar_AE"/>
        </w:rPr>
        <w:t>سِفر الملوك الثاني</w:t>
      </w:r>
    </w:p>
    <w:p>
      <w:pPr>
        <w:pStyle w:val="Heading3"/>
        <w:bidi/>
      </w:pPr>
      <w:r>
        <w:rPr>
          <w:rtl/>
          <w:cs/>
          <w:lang w:val="ar_AE" w:bidi="ar_AE"/>
        </w:rPr>
        <w:t>الهدف</w:t>
      </w:r>
    </w:p>
    <w:p>
      <w:pPr>
        <w:bidi/>
      </w:pPr>
      <w:r>
        <w:rPr>
          <w:rtl/>
          <w:cs/>
          <w:lang w:val="ar_AE" w:bidi="ar_AE"/>
        </w:rPr>
      </w:r>
      <w:r>
        <w:rPr>
          <w:rtl/>
          <w:cs/>
          <w:lang w:val="ar_AE" w:bidi="ar_AE"/>
        </w:rPr>
        <w:t>توضيح سبب وقوع كل من إسرائيل ويهوذا في السبي من أرض الميعاد</w:t>
      </w:r>
    </w:p>
    <w:p>
      <w:pPr>
        <w:pStyle w:val="Heading3"/>
        <w:bidi/>
      </w:pPr>
      <w:r>
        <w:rPr>
          <w:rtl/>
          <w:cs/>
          <w:lang w:val="ar_AE" w:bidi="ar_AE"/>
        </w:rPr>
        <w:t>الكاتب</w:t>
      </w:r>
    </w:p>
    <w:p>
      <w:pPr>
        <w:bidi/>
      </w:pPr>
      <w:r>
        <w:rPr>
          <w:rtl/>
          <w:cs/>
          <w:lang w:val="ar_AE" w:bidi="ar_AE"/>
        </w:rPr>
      </w:r>
      <w:r>
        <w:rPr>
          <w:rtl/>
          <w:cs/>
          <w:lang w:val="ar_AE" w:bidi="ar_AE"/>
        </w:rPr>
        <w:t>مجهول</w:t>
      </w:r>
    </w:p>
    <w:p>
      <w:pPr>
        <w:pStyle w:val="Heading3"/>
        <w:bidi/>
      </w:pPr>
      <w:r>
        <w:rPr>
          <w:rtl/>
          <w:cs/>
          <w:lang w:val="ar_AE" w:bidi="ar_AE"/>
        </w:rPr>
        <w:t>الزمن</w:t>
      </w:r>
    </w:p>
    <w:p>
      <w:pPr>
        <w:bidi/>
      </w:pPr>
      <w:r>
        <w:rPr>
          <w:rtl/>
          <w:cs/>
          <w:lang w:val="ar_AE" w:bidi="ar_AE"/>
        </w:rPr>
      </w:r>
      <w:r>
        <w:rPr>
          <w:rtl/>
          <w:cs/>
          <w:lang w:val="ar_AE" w:bidi="ar_AE"/>
        </w:rPr>
        <w:t>يسجِّل الأحداث التي وقعت نحو 853–586 قبل الميلاد</w:t>
      </w:r>
    </w:p>
    <w:p>
      <w:pPr>
        <w:pStyle w:val="Heading3"/>
        <w:bidi/>
      </w:pPr>
      <w:r>
        <w:rPr>
          <w:rtl/>
          <w:cs/>
          <w:lang w:val="ar_AE" w:bidi="ar_AE"/>
        </w:rPr>
        <w:t>السياق</w:t>
      </w:r>
    </w:p>
    <w:p>
      <w:pPr>
        <w:bidi/>
      </w:pPr>
      <w:r>
        <w:rPr>
          <w:rtl/>
          <w:cs/>
          <w:lang w:val="ar_AE" w:bidi="ar_AE"/>
        </w:rPr>
      </w:r>
      <w:r>
        <w:rPr>
          <w:rtl/>
          <w:cs/>
          <w:lang w:val="ar_AE" w:bidi="ar_AE"/>
        </w:rPr>
        <w:t>تستمر القصة من سِفر الملوك الأول للمملكة المنقسمة، وتنتهي بوقوع كلا المملكتين في السبي</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