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 (Book Intro Summaries)</w:t>
      </w:r>
      <w:r>
        <w:rPr>
          <w:rtl/>
          <w:cs/>
          <w:lang w:val="ar_AE" w:bidi="ar_AE"/>
        </w:rPr>
      </w:r>
    </w:p>
    <w:p>
      <w:pPr>
        <w:bidi/>
      </w:pPr>
      <w:r>
        <w:rPr>
          <w:rtl/>
          <w:cs/>
          <w:lang w:val="ar_AE" w:bidi="ar_AE"/>
        </w:rPr>
      </w:r>
      <w:r>
        <w:rPr>
          <w:b/>
          <w:rtl/>
          <w:cs/>
          <w:lang w:val="ar_AE" w:bidi="ar_AE"/>
        </w:rPr>
        <w:t>Aquifer Open Study Notes (Book Intro Summaries)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SNG</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سفر نشيد الأناشيد</w:t>
      </w:r>
      <w:r>
        <w:rPr>
          <w:rtl/>
          <w:cs/>
          <w:lang w:val="ar_AE" w:bidi="ar_AE"/>
        </w:rPr>
      </w:r>
    </w:p>
    <w:p>
      <w:pPr>
        <w:bidi/>
      </w:pPr>
      <w:r>
        <w:rPr>
          <w:rtl/>
          <w:cs/>
          <w:lang w:val="ar_AE" w:bidi="ar_AE"/>
        </w:rPr>
      </w:r>
      <w:r>
        <w:rPr>
          <w:rtl/>
          <w:cs/>
          <w:lang w:val="ar_AE" w:bidi="ar_AE"/>
        </w:rPr>
        <w:t>سِفر نشيد الأناشيد</w:t>
      </w:r>
    </w:p>
    <w:p>
      <w:pPr>
        <w:pStyle w:val="Heading3"/>
        <w:bidi/>
      </w:pPr>
      <w:r>
        <w:rPr>
          <w:rtl/>
          <w:cs/>
          <w:lang w:val="ar_AE" w:bidi="ar_AE"/>
        </w:rPr>
        <w:t>الهدف</w:t>
      </w:r>
    </w:p>
    <w:p>
      <w:pPr>
        <w:bidi/>
      </w:pPr>
      <w:r>
        <w:rPr>
          <w:rtl/>
          <w:cs/>
          <w:lang w:val="ar_AE" w:bidi="ar_AE"/>
        </w:rPr>
      </w:r>
      <w:r>
        <w:rPr>
          <w:rtl/>
          <w:cs/>
          <w:lang w:val="ar_AE" w:bidi="ar_AE"/>
        </w:rPr>
        <w:t>الاحتفاء بعطايا الله من الحب والعلاقة الحميمية</w:t>
      </w:r>
    </w:p>
    <w:p>
      <w:pPr>
        <w:pStyle w:val="Heading3"/>
        <w:bidi/>
      </w:pPr>
      <w:r>
        <w:rPr>
          <w:rtl/>
          <w:cs/>
          <w:lang w:val="ar_AE" w:bidi="ar_AE"/>
        </w:rPr>
        <w:t>الكاتب</w:t>
      </w:r>
    </w:p>
    <w:p>
      <w:pPr>
        <w:bidi/>
      </w:pPr>
      <w:r>
        <w:rPr>
          <w:rtl/>
          <w:cs/>
          <w:lang w:val="ar_AE" w:bidi="ar_AE"/>
        </w:rPr>
      </w:r>
      <w:r>
        <w:rPr>
          <w:rtl/>
          <w:cs/>
          <w:lang w:val="ar_AE" w:bidi="ar_AE"/>
        </w:rPr>
        <w:t>سليمان؛ ومساهمون محتملون آخرون</w:t>
      </w:r>
    </w:p>
    <w:p>
      <w:pPr>
        <w:pStyle w:val="Heading3"/>
        <w:bidi/>
      </w:pPr>
      <w:r>
        <w:rPr>
          <w:rtl/>
          <w:cs/>
          <w:lang w:val="ar_AE" w:bidi="ar_AE"/>
        </w:rPr>
        <w:t>الزمن</w:t>
      </w:r>
    </w:p>
    <w:p>
      <w:pPr>
        <w:bidi/>
      </w:pPr>
      <w:r>
        <w:rPr>
          <w:rtl/>
          <w:cs/>
          <w:lang w:val="ar_AE" w:bidi="ar_AE"/>
        </w:rPr>
      </w:r>
      <w:r>
        <w:rPr>
          <w:rtl/>
          <w:cs/>
          <w:lang w:val="ar_AE" w:bidi="ar_AE"/>
        </w:rPr>
        <w:t>غير معروف، ولكن بعد 971 قبل الميلاد</w:t>
      </w:r>
    </w:p>
    <w:p>
      <w:pPr>
        <w:pStyle w:val="Heading3"/>
        <w:bidi/>
      </w:pPr>
      <w:r>
        <w:rPr>
          <w:rtl/>
          <w:cs/>
          <w:lang w:val="ar_AE" w:bidi="ar_AE"/>
        </w:rPr>
        <w:t>السياق</w:t>
      </w:r>
    </w:p>
    <w:p>
      <w:pPr>
        <w:bidi/>
      </w:pPr>
      <w:r>
        <w:rPr>
          <w:rtl/>
          <w:cs/>
          <w:lang w:val="ar_AE" w:bidi="ar_AE"/>
        </w:rPr>
      </w:r>
      <w:r>
        <w:rPr>
          <w:rtl/>
          <w:cs/>
          <w:lang w:val="ar_AE" w:bidi="ar_AE"/>
        </w:rPr>
        <w:t>يرتبط السِفر بعهد سليمان، لكن افتقاره إلى حبكة واضحة لا يوفر معلومات واضحة عن سياقه</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