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إشعياء</w:t>
      </w:r>
      <w:r>
        <w:rPr>
          <w:rtl/>
          <w:cs/>
          <w:lang w:val="ar_AE" w:bidi="ar_AE"/>
        </w:rPr>
      </w:r>
    </w:p>
    <w:p>
      <w:pPr>
        <w:bidi/>
      </w:pPr>
      <w:r>
        <w:rPr>
          <w:rtl/>
          <w:cs/>
          <w:lang w:val="ar_AE" w:bidi="ar_AE"/>
        </w:rPr>
      </w:r>
      <w:r>
        <w:rPr>
          <w:rtl/>
          <w:cs/>
          <w:lang w:val="ar_AE" w:bidi="ar_AE"/>
        </w:rPr>
        <w:t>سِفر إشعياء</w:t>
      </w:r>
    </w:p>
    <w:p>
      <w:pPr>
        <w:pStyle w:val="Heading3"/>
        <w:bidi/>
      </w:pPr>
      <w:r>
        <w:rPr>
          <w:rtl/>
          <w:cs/>
          <w:lang w:val="ar_AE" w:bidi="ar_AE"/>
        </w:rPr>
        <w:t>الهدف</w:t>
      </w:r>
    </w:p>
    <w:p>
      <w:pPr>
        <w:bidi/>
      </w:pPr>
      <w:r>
        <w:rPr>
          <w:rtl/>
          <w:cs/>
          <w:lang w:val="ar_AE" w:bidi="ar_AE"/>
        </w:rPr>
      </w:r>
      <w:r>
        <w:rPr>
          <w:rtl/>
          <w:cs/>
          <w:lang w:val="ar_AE" w:bidi="ar_AE"/>
        </w:rPr>
        <w:t>تحذير يهوذا من الدينونة الوشيكة وتقديم الرجاء الذي يُهم بقية شعب الله</w:t>
      </w:r>
    </w:p>
    <w:p>
      <w:pPr>
        <w:pStyle w:val="Heading3"/>
        <w:bidi/>
      </w:pPr>
      <w:r>
        <w:rPr>
          <w:rtl/>
          <w:cs/>
          <w:lang w:val="ar_AE" w:bidi="ar_AE"/>
        </w:rPr>
        <w:t>الكاتب</w:t>
      </w:r>
    </w:p>
    <w:p>
      <w:pPr>
        <w:bidi/>
      </w:pPr>
      <w:r>
        <w:rPr>
          <w:rtl/>
          <w:cs/>
          <w:lang w:val="ar_AE" w:bidi="ar_AE"/>
        </w:rPr>
      </w:r>
      <w:r>
        <w:rPr>
          <w:rtl/>
          <w:cs/>
          <w:lang w:val="ar_AE" w:bidi="ar_AE"/>
        </w:rPr>
        <w:t>سفر إشعياء</w:t>
      </w:r>
    </w:p>
    <w:p>
      <w:pPr>
        <w:pStyle w:val="Heading3"/>
        <w:bidi/>
      </w:pPr>
      <w:r>
        <w:rPr>
          <w:rtl/>
          <w:cs/>
          <w:lang w:val="ar_AE" w:bidi="ar_AE"/>
        </w:rPr>
        <w:t>الزمن</w:t>
      </w:r>
    </w:p>
    <w:p>
      <w:pPr>
        <w:bidi/>
      </w:pPr>
      <w:r>
        <w:rPr>
          <w:rtl/>
          <w:cs/>
          <w:lang w:val="ar_AE" w:bidi="ar_AE"/>
        </w:rPr>
      </w:r>
      <w:r>
        <w:rPr>
          <w:rtl/>
          <w:cs/>
          <w:lang w:val="ar_AE" w:bidi="ar_AE"/>
        </w:rPr>
        <w:t>نحو 740–685 قبل الميلاد</w:t>
      </w:r>
    </w:p>
    <w:p>
      <w:pPr>
        <w:pStyle w:val="Heading3"/>
        <w:bidi/>
      </w:pPr>
      <w:r>
        <w:rPr>
          <w:rtl/>
          <w:cs/>
          <w:lang w:val="ar_AE" w:bidi="ar_AE"/>
        </w:rPr>
        <w:t>السياق</w:t>
      </w:r>
    </w:p>
    <w:p>
      <w:pPr>
        <w:bidi/>
      </w:pPr>
      <w:r>
        <w:rPr>
          <w:rtl/>
          <w:cs/>
          <w:lang w:val="ar_AE" w:bidi="ar_AE"/>
        </w:rPr>
      </w:r>
      <w:r>
        <w:rPr>
          <w:rtl/>
          <w:cs/>
          <w:lang w:val="ar_AE" w:bidi="ar_AE"/>
        </w:rPr>
        <w:t>مملكة يهوذا الجنوبية، في وقت قريب من غزو آشور لمملكة إسرائيل الشمالية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