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حزقيال</w:t>
      </w:r>
      <w:r>
        <w:rPr>
          <w:rtl/>
          <w:cs/>
          <w:lang w:val="ar_AE" w:bidi="ar_AE"/>
        </w:rPr>
      </w:r>
    </w:p>
    <w:p>
      <w:pPr>
        <w:bidi/>
      </w:pPr>
      <w:r>
        <w:rPr>
          <w:rtl/>
          <w:cs/>
          <w:lang w:val="ar_AE" w:bidi="ar_AE"/>
        </w:rPr>
      </w:r>
      <w:r>
        <w:rPr>
          <w:rtl/>
          <w:cs/>
          <w:lang w:val="ar_AE" w:bidi="ar_AE"/>
        </w:rPr>
        <w:t>سِفر حزقيال</w:t>
      </w:r>
    </w:p>
    <w:p>
      <w:pPr>
        <w:pStyle w:val="Heading3"/>
        <w:bidi/>
      </w:pPr>
      <w:r>
        <w:rPr>
          <w:rtl/>
          <w:cs/>
          <w:lang w:val="ar_AE" w:bidi="ar_AE"/>
        </w:rPr>
        <w:t>الهدف</w:t>
      </w:r>
    </w:p>
    <w:p>
      <w:pPr>
        <w:bidi/>
      </w:pPr>
      <w:r>
        <w:rPr>
          <w:rtl/>
          <w:cs/>
          <w:lang w:val="ar_AE" w:bidi="ar_AE"/>
        </w:rPr>
      </w:r>
      <w:r>
        <w:rPr>
          <w:rtl/>
          <w:cs/>
          <w:lang w:val="ar_AE" w:bidi="ar_AE"/>
        </w:rPr>
        <w:t>إعلان الدينونة الوشيكة على يهوذا وتقديم الرجاء بعد خراب أورشليم</w:t>
      </w:r>
    </w:p>
    <w:p>
      <w:pPr>
        <w:pStyle w:val="Heading3"/>
        <w:bidi/>
      </w:pPr>
      <w:r>
        <w:rPr>
          <w:rtl/>
          <w:cs/>
          <w:lang w:val="ar_AE" w:bidi="ar_AE"/>
        </w:rPr>
        <w:t>الكاتب</w:t>
      </w:r>
    </w:p>
    <w:p>
      <w:pPr>
        <w:bidi/>
      </w:pPr>
      <w:r>
        <w:rPr>
          <w:rtl/>
          <w:cs/>
          <w:lang w:val="ar_AE" w:bidi="ar_AE"/>
        </w:rPr>
      </w:r>
      <w:r>
        <w:rPr>
          <w:rtl/>
          <w:cs/>
          <w:lang w:val="ar_AE" w:bidi="ar_AE"/>
        </w:rPr>
        <w:t>سفر حزقيال</w:t>
      </w:r>
    </w:p>
    <w:p>
      <w:pPr>
        <w:pStyle w:val="Heading3"/>
        <w:bidi/>
      </w:pPr>
      <w:r>
        <w:rPr>
          <w:rtl/>
          <w:cs/>
          <w:lang w:val="ar_AE" w:bidi="ar_AE"/>
        </w:rPr>
        <w:t>الزمن</w:t>
      </w:r>
    </w:p>
    <w:p>
      <w:pPr>
        <w:bidi/>
      </w:pPr>
      <w:r>
        <w:rPr>
          <w:rtl/>
          <w:cs/>
          <w:lang w:val="ar_AE" w:bidi="ar_AE"/>
        </w:rPr>
      </w:r>
      <w:r>
        <w:rPr>
          <w:rtl/>
          <w:cs/>
          <w:lang w:val="ar_AE" w:bidi="ar_AE"/>
        </w:rPr>
        <w:t>نحو 593–571 قبل الميلاد</w:t>
      </w:r>
    </w:p>
    <w:p>
      <w:pPr>
        <w:pStyle w:val="Heading3"/>
        <w:bidi/>
      </w:pPr>
      <w:r>
        <w:rPr>
          <w:rtl/>
          <w:cs/>
          <w:lang w:val="ar_AE" w:bidi="ar_AE"/>
        </w:rPr>
        <w:t>السياق</w:t>
      </w:r>
    </w:p>
    <w:p>
      <w:pPr>
        <w:bidi/>
      </w:pPr>
      <w:r>
        <w:rPr>
          <w:rtl/>
          <w:cs/>
          <w:lang w:val="ar_AE" w:bidi="ar_AE"/>
        </w:rPr>
      </w:r>
      <w:r>
        <w:rPr>
          <w:rtl/>
          <w:cs/>
          <w:lang w:val="ar_AE" w:bidi="ar_AE"/>
        </w:rPr>
        <w:t>سبي بابل، مباشرة قبل وأثناء وبعد خراب أورشليم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