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MIC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ميخا</w:t>
      </w:r>
      <w:r>
        <w:rPr>
          <w:rtl/>
          <w:cs/>
          <w:lang w:val="ar_AE" w:bidi="ar_AE"/>
        </w:rPr>
      </w:r>
    </w:p>
    <w:p>
      <w:pPr>
        <w:bidi/>
      </w:pPr>
      <w:r>
        <w:rPr>
          <w:rtl/>
          <w:cs/>
          <w:lang w:val="ar_AE" w:bidi="ar_AE"/>
        </w:rPr>
      </w:r>
      <w:r>
        <w:rPr>
          <w:rtl/>
          <w:cs/>
          <w:lang w:val="ar_AE" w:bidi="ar_AE"/>
        </w:rPr>
        <w:t>سِفر ميخا</w:t>
      </w:r>
    </w:p>
    <w:p>
      <w:pPr>
        <w:pStyle w:val="Heading3"/>
        <w:bidi/>
      </w:pPr>
      <w:r>
        <w:rPr>
          <w:rtl/>
          <w:cs/>
          <w:lang w:val="ar_AE" w:bidi="ar_AE"/>
        </w:rPr>
        <w:t>الهدف</w:t>
      </w:r>
    </w:p>
    <w:p>
      <w:pPr>
        <w:bidi/>
      </w:pPr>
      <w:r>
        <w:rPr>
          <w:rtl/>
          <w:cs/>
          <w:lang w:val="ar_AE" w:bidi="ar_AE"/>
        </w:rPr>
      </w:r>
      <w:r>
        <w:rPr>
          <w:rtl/>
          <w:cs/>
          <w:lang w:val="ar_AE" w:bidi="ar_AE"/>
        </w:rPr>
        <w:t>إعلان الدينونة على السامرة وأورشليم، وأيضًا لتقديم رسالة رجاء قوية لمستقبل إسرائيل</w:t>
      </w:r>
    </w:p>
    <w:p>
      <w:pPr>
        <w:pStyle w:val="Heading3"/>
        <w:bidi/>
      </w:pPr>
      <w:r>
        <w:rPr>
          <w:rtl/>
          <w:cs/>
          <w:lang w:val="ar_AE" w:bidi="ar_AE"/>
        </w:rPr>
        <w:t>الكاتب</w:t>
      </w:r>
    </w:p>
    <w:p>
      <w:pPr>
        <w:bidi/>
      </w:pPr>
      <w:r>
        <w:rPr>
          <w:rtl/>
          <w:cs/>
          <w:lang w:val="ar_AE" w:bidi="ar_AE"/>
        </w:rPr>
      </w:r>
      <w:r>
        <w:rPr>
          <w:rtl/>
          <w:cs/>
          <w:lang w:val="ar_AE" w:bidi="ar_AE"/>
        </w:rPr>
        <w:t>سفر ميخا</w:t>
      </w:r>
    </w:p>
    <w:p>
      <w:pPr>
        <w:pStyle w:val="Heading3"/>
        <w:bidi/>
      </w:pPr>
      <w:r>
        <w:rPr>
          <w:rtl/>
          <w:cs/>
          <w:lang w:val="ar_AE" w:bidi="ar_AE"/>
        </w:rPr>
        <w:t>الزمن</w:t>
      </w:r>
    </w:p>
    <w:p>
      <w:pPr>
        <w:bidi/>
      </w:pPr>
      <w:r>
        <w:rPr>
          <w:rtl/>
          <w:cs/>
          <w:lang w:val="ar_AE" w:bidi="ar_AE"/>
        </w:rPr>
      </w:r>
      <w:r>
        <w:rPr>
          <w:rtl/>
          <w:cs/>
          <w:lang w:val="ar_AE" w:bidi="ar_AE"/>
        </w:rPr>
        <w:t>نحو 735–686 قبل الميلاد</w:t>
      </w:r>
    </w:p>
    <w:p>
      <w:pPr>
        <w:pStyle w:val="Heading3"/>
        <w:bidi/>
      </w:pPr>
      <w:r>
        <w:rPr>
          <w:rtl/>
          <w:cs/>
          <w:lang w:val="ar_AE" w:bidi="ar_AE"/>
        </w:rPr>
        <w:t>السياق</w:t>
      </w:r>
    </w:p>
    <w:p>
      <w:pPr>
        <w:bidi/>
      </w:pPr>
      <w:r>
        <w:rPr>
          <w:rtl/>
          <w:cs/>
          <w:lang w:val="ar_AE" w:bidi="ar_AE"/>
        </w:rPr>
      </w:r>
      <w:r>
        <w:rPr>
          <w:rtl/>
          <w:cs/>
          <w:lang w:val="ar_AE" w:bidi="ar_AE"/>
        </w:rPr>
        <w:t>مملكة إسرائيل الشمالية قبيل خرابها ومملكة يهوذا الجنوبية في عهد يوثام وأحاز وحزقيَّا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