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زكريا</w:t>
      </w:r>
      <w:r>
        <w:rPr>
          <w:rtl/>
          <w:cs/>
          <w:lang w:val="ar_AE" w:bidi="ar_AE"/>
        </w:rPr>
      </w:r>
    </w:p>
    <w:p>
      <w:pPr>
        <w:bidi/>
      </w:pPr>
      <w:r>
        <w:rPr>
          <w:rtl/>
          <w:cs/>
          <w:lang w:val="ar_AE" w:bidi="ar_AE"/>
        </w:rPr>
      </w:r>
      <w:r>
        <w:rPr>
          <w:rtl/>
          <w:cs/>
          <w:lang w:val="ar_AE" w:bidi="ar_AE"/>
        </w:rPr>
        <w:t>سِفر زكريا</w:t>
      </w:r>
    </w:p>
    <w:p>
      <w:pPr>
        <w:pStyle w:val="Heading3"/>
        <w:bidi/>
      </w:pPr>
      <w:r>
        <w:rPr>
          <w:rtl/>
          <w:cs/>
          <w:lang w:val="ar_AE" w:bidi="ar_AE"/>
        </w:rPr>
        <w:t>الهدف</w:t>
      </w:r>
    </w:p>
    <w:p>
      <w:pPr>
        <w:bidi/>
      </w:pPr>
      <w:r>
        <w:rPr>
          <w:rtl/>
          <w:cs/>
          <w:lang w:val="ar_AE" w:bidi="ar_AE"/>
        </w:rPr>
      </w:r>
      <w:r>
        <w:rPr>
          <w:rtl/>
          <w:cs/>
          <w:lang w:val="ar_AE" w:bidi="ar_AE"/>
        </w:rPr>
        <w:t>تشديد التجديد الروحي والإعلان عن مستقبل عظيم لشعب الله</w:t>
      </w:r>
    </w:p>
    <w:p>
      <w:pPr>
        <w:pStyle w:val="Heading3"/>
        <w:bidi/>
      </w:pPr>
      <w:r>
        <w:rPr>
          <w:rtl/>
          <w:cs/>
          <w:lang w:val="ar_AE" w:bidi="ar_AE"/>
        </w:rPr>
        <w:t>الكاتب</w:t>
      </w:r>
    </w:p>
    <w:p>
      <w:pPr>
        <w:bidi/>
      </w:pPr>
      <w:r>
        <w:rPr>
          <w:rtl/>
          <w:cs/>
          <w:lang w:val="ar_AE" w:bidi="ar_AE"/>
        </w:rPr>
      </w:r>
      <w:r>
        <w:rPr>
          <w:rtl/>
          <w:cs/>
          <w:lang w:val="ar_AE" w:bidi="ar_AE"/>
        </w:rPr>
        <w:t>سفر زكريا</w:t>
      </w:r>
    </w:p>
    <w:p>
      <w:pPr>
        <w:pStyle w:val="Heading3"/>
        <w:bidi/>
      </w:pPr>
      <w:r>
        <w:rPr>
          <w:rtl/>
          <w:cs/>
          <w:lang w:val="ar_AE" w:bidi="ar_AE"/>
        </w:rPr>
        <w:t>الزمن</w:t>
      </w:r>
    </w:p>
    <w:p>
      <w:pPr>
        <w:bidi/>
      </w:pPr>
      <w:r>
        <w:rPr>
          <w:rtl/>
          <w:cs/>
          <w:lang w:val="ar_AE" w:bidi="ar_AE"/>
        </w:rPr>
      </w:r>
      <w:r>
        <w:rPr>
          <w:rtl/>
          <w:cs/>
          <w:lang w:val="ar_AE" w:bidi="ar_AE"/>
        </w:rPr>
        <w:t>على الأرجح بين 520 و470 قبل الميلاد</w:t>
      </w:r>
    </w:p>
    <w:p>
      <w:pPr>
        <w:pStyle w:val="Heading3"/>
        <w:bidi/>
      </w:pPr>
      <w:r>
        <w:rPr>
          <w:rtl/>
          <w:cs/>
          <w:lang w:val="ar_AE" w:bidi="ar_AE"/>
        </w:rPr>
        <w:t>السياق</w:t>
      </w:r>
    </w:p>
    <w:p>
      <w:pPr>
        <w:bidi/>
      </w:pPr>
      <w:r>
        <w:rPr>
          <w:rtl/>
          <w:cs/>
          <w:lang w:val="ar_AE" w:bidi="ar_AE"/>
        </w:rPr>
      </w:r>
      <w:r>
        <w:rPr>
          <w:rtl/>
          <w:cs/>
          <w:lang w:val="ar_AE" w:bidi="ar_AE"/>
        </w:rPr>
        <w:t>أورشليم، بعد عقدين من عودة بقية اليهود من السبي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