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متى</w:t>
      </w:r>
      <w:r>
        <w:rPr>
          <w:rtl/>
          <w:cs/>
          <w:lang w:val="ar_AE" w:bidi="ar_AE"/>
        </w:rPr>
      </w:r>
    </w:p>
    <w:p>
      <w:pPr>
        <w:bidi/>
      </w:pPr>
      <w:r>
        <w:rPr>
          <w:rtl/>
          <w:cs/>
          <w:lang w:val="ar_AE" w:bidi="ar_AE"/>
        </w:rPr>
      </w:r>
      <w:r>
        <w:rPr>
          <w:rtl/>
          <w:cs/>
          <w:lang w:val="ar_AE" w:bidi="ar_AE"/>
        </w:rPr>
        <w:t>إنجيل متى</w:t>
      </w:r>
    </w:p>
    <w:p>
      <w:pPr>
        <w:pStyle w:val="Heading3"/>
        <w:bidi/>
      </w:pPr>
      <w:r>
        <w:rPr>
          <w:rtl/>
          <w:cs/>
          <w:lang w:val="ar_AE" w:bidi="ar_AE"/>
        </w:rPr>
        <w:t>الهدف</w:t>
      </w:r>
    </w:p>
    <w:p>
      <w:pPr>
        <w:bidi/>
      </w:pPr>
      <w:r>
        <w:rPr>
          <w:rtl/>
          <w:cs/>
          <w:lang w:val="ar_AE" w:bidi="ar_AE"/>
        </w:rPr>
      </w:r>
      <w:r>
        <w:rPr>
          <w:rtl/>
          <w:cs/>
          <w:lang w:val="ar_AE" w:bidi="ar_AE"/>
        </w:rPr>
        <w:t>إثبات أنَّ يسوع هو المسيح الرب ولمساعدة المسيحيين على فهم كيفية العيش فيما يتعلق باليهوديَّة</w:t>
      </w:r>
    </w:p>
    <w:p>
      <w:pPr>
        <w:pStyle w:val="Heading3"/>
        <w:bidi/>
      </w:pPr>
      <w:r>
        <w:rPr>
          <w:rtl/>
          <w:cs/>
          <w:lang w:val="ar_AE" w:bidi="ar_AE"/>
        </w:rPr>
        <w:t>الكاتب</w:t>
      </w:r>
    </w:p>
    <w:p>
      <w:pPr>
        <w:bidi/>
      </w:pPr>
      <w:r>
        <w:rPr>
          <w:rtl/>
          <w:cs/>
          <w:lang w:val="ar_AE" w:bidi="ar_AE"/>
        </w:rPr>
      </w:r>
      <w:r>
        <w:rPr>
          <w:rtl/>
          <w:cs/>
          <w:lang w:val="ar_AE" w:bidi="ar_AE"/>
        </w:rPr>
        <w:t>متى (المعروف أيضًا باسم لاوي)، أحد تلاميذ يسوع الاثني عشر</w:t>
      </w:r>
    </w:p>
    <w:p>
      <w:pPr>
        <w:pStyle w:val="Heading3"/>
        <w:bidi/>
      </w:pPr>
      <w:r>
        <w:rPr>
          <w:rtl/>
          <w:cs/>
          <w:lang w:val="ar_AE" w:bidi="ar_AE"/>
        </w:rPr>
        <w:t>الزمن</w:t>
      </w:r>
    </w:p>
    <w:p>
      <w:pPr>
        <w:bidi/>
      </w:pPr>
      <w:r>
        <w:rPr>
          <w:rtl/>
          <w:cs/>
          <w:lang w:val="ar_AE" w:bidi="ar_AE"/>
        </w:rPr>
      </w:r>
      <w:r>
        <w:rPr>
          <w:rtl/>
          <w:cs/>
          <w:lang w:val="ar_AE" w:bidi="ar_AE"/>
        </w:rPr>
        <w:t>على الأرجح في وقت ما بين 65 و80 بعد الميلاد</w:t>
      </w:r>
    </w:p>
    <w:p>
      <w:pPr>
        <w:pStyle w:val="Heading3"/>
        <w:bidi/>
      </w:pPr>
      <w:r>
        <w:rPr>
          <w:rtl/>
          <w:cs/>
          <w:lang w:val="ar_AE" w:bidi="ar_AE"/>
        </w:rPr>
        <w:t>السياق</w:t>
      </w:r>
    </w:p>
    <w:p>
      <w:pPr>
        <w:bidi/>
      </w:pPr>
      <w:r>
        <w:rPr>
          <w:rtl/>
          <w:cs/>
          <w:lang w:val="ar_AE" w:bidi="ar_AE"/>
        </w:rPr>
      </w:r>
      <w:r>
        <w:rPr>
          <w:rtl/>
          <w:cs/>
          <w:lang w:val="ar_AE" w:bidi="ar_AE"/>
        </w:rPr>
        <w:t>كُتبَ في وقت كان المسيحيون الأوائل يكافحون فيه من أجل فهم العلاقة بين معتقداتهم الجديدة والعقيدة اليهودية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